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E2AFF" w14:textId="59B9E13C" w:rsidR="00FB291A" w:rsidRPr="001C606F" w:rsidRDefault="00460E8E" w:rsidP="001C606F">
      <w:pPr>
        <w:pStyle w:val="Heading1"/>
      </w:pPr>
      <w:r w:rsidRPr="001C606F">
        <w:t>Background</w:t>
      </w:r>
    </w:p>
    <w:p w14:paraId="789D9262" w14:textId="5D691D1B" w:rsidR="002C1CE3" w:rsidRDefault="003B573B" w:rsidP="003773D4">
      <w:pPr>
        <w:keepNext/>
        <w:spacing w:after="120" w:line="288" w:lineRule="auto"/>
        <w:outlineLvl w:val="0"/>
      </w:pPr>
      <w:r>
        <w:t>Shared decision making is a key component of patient-centered care,</w:t>
      </w:r>
      <w:r w:rsidR="00E70566">
        <w:t xml:space="preserve"> “</w:t>
      </w:r>
      <w:r w:rsidR="00E70566" w:rsidRPr="001F7BAB">
        <w:rPr>
          <w:i/>
        </w:rPr>
        <w:t>a process that allows patients and their providers to make health care decisions together, taking into account the best scientific evidence available, as well as the patient’s values and preferences</w:t>
      </w:r>
      <w:r w:rsidR="00E70566">
        <w:t>.”</w:t>
      </w:r>
      <w:r w:rsidR="00E70566">
        <w:rPr>
          <w:rStyle w:val="EndnoteReference"/>
        </w:rPr>
        <w:endnoteReference w:id="1"/>
      </w:r>
      <w:r>
        <w:t xml:space="preserve"> </w:t>
      </w:r>
      <w:r w:rsidR="00497209">
        <w:t xml:space="preserve">Shared decision making is </w:t>
      </w:r>
      <w:r w:rsidR="00BF0117">
        <w:t>appropriate</w:t>
      </w:r>
      <w:r w:rsidR="00497209">
        <w:t xml:space="preserve"> for </w:t>
      </w:r>
      <w:r w:rsidR="000B2074">
        <w:t xml:space="preserve">preference-sensitive </w:t>
      </w:r>
      <w:r w:rsidR="00497209">
        <w:t>conditions in which there is high-quality clinical evidence for more than one treatment or management option</w:t>
      </w:r>
      <w:r w:rsidR="002C1CE3">
        <w:t xml:space="preserve"> </w:t>
      </w:r>
      <w:r w:rsidR="00CF5417">
        <w:t xml:space="preserve">or screening </w:t>
      </w:r>
      <w:r w:rsidR="002C1CE3">
        <w:t xml:space="preserve">and </w:t>
      </w:r>
      <w:r w:rsidR="002C1CE3" w:rsidRPr="00CF5417">
        <w:rPr>
          <w:color w:val="FF0000"/>
        </w:rPr>
        <w:t>not appropriate when clinical evidence highly favors one process or treatment (e.g., measles, mumps, rubella vaccine; antibiotics for ear infections)</w:t>
      </w:r>
      <w:r w:rsidR="00497209">
        <w:t>.</w:t>
      </w:r>
      <w:r w:rsidR="00C37A49">
        <w:rPr>
          <w:rStyle w:val="EndnoteReference"/>
        </w:rPr>
        <w:endnoteReference w:id="2"/>
      </w:r>
      <w:r w:rsidR="00497209">
        <w:t xml:space="preserve"> </w:t>
      </w:r>
      <w:r w:rsidR="002C1CE3" w:rsidRPr="00CF5417">
        <w:rPr>
          <w:color w:val="FF0000"/>
        </w:rPr>
        <w:t xml:space="preserve">See Figure X, below. In all cases, communication is a key part of high-quality clinical care. </w:t>
      </w:r>
    </w:p>
    <w:p w14:paraId="45B06919" w14:textId="5005C292" w:rsidR="003B573B" w:rsidRDefault="003B573B" w:rsidP="003773D4">
      <w:pPr>
        <w:keepNext/>
        <w:spacing w:after="120" w:line="288" w:lineRule="auto"/>
        <w:outlineLvl w:val="0"/>
      </w:pPr>
      <w:r>
        <w:t xml:space="preserve">This process is </w:t>
      </w:r>
      <w:r w:rsidR="003E3DE9">
        <w:t>different from</w:t>
      </w:r>
      <w:r>
        <w:t xml:space="preserve"> informed consent in which patients undergoing a procedure are made aware of benefits and risks but may not necessarily </w:t>
      </w:r>
      <w:r w:rsidR="003E3DE9">
        <w:t xml:space="preserve">be making a key decision, from only education, and </w:t>
      </w:r>
      <w:r w:rsidR="00497209">
        <w:t xml:space="preserve">also distinct </w:t>
      </w:r>
      <w:r w:rsidR="003E3DE9">
        <w:t xml:space="preserve">from motivational interviewing. Shared decision making allows </w:t>
      </w:r>
      <w:r w:rsidR="00B67488">
        <w:t xml:space="preserve">for </w:t>
      </w:r>
      <w:r w:rsidR="003E3DE9">
        <w:t>communication between a provider and patient</w:t>
      </w:r>
      <w:r w:rsidR="00FE02B3">
        <w:t xml:space="preserve">, </w:t>
      </w:r>
      <w:r w:rsidR="003E3DE9">
        <w:t xml:space="preserve">and in some cases family members or others, </w:t>
      </w:r>
      <w:r w:rsidR="00FE02B3" w:rsidRPr="00FE02B3">
        <w:t xml:space="preserve">about risks, benefits, </w:t>
      </w:r>
      <w:r w:rsidR="00E24668">
        <w:t>and exploration of</w:t>
      </w:r>
      <w:r w:rsidR="00011EB1">
        <w:t xml:space="preserve"> </w:t>
      </w:r>
      <w:r w:rsidR="003E3DE9">
        <w:t>values</w:t>
      </w:r>
      <w:r w:rsidR="00C37A49">
        <w:t xml:space="preserve"> and goals</w:t>
      </w:r>
      <w:r w:rsidR="003E3DE9">
        <w:t>.</w:t>
      </w:r>
      <w:r>
        <w:t xml:space="preserve"> </w:t>
      </w:r>
    </w:p>
    <w:p w14:paraId="531995E6" w14:textId="69311F8A" w:rsidR="00C3453E" w:rsidRPr="00C412C0" w:rsidRDefault="00C3453E" w:rsidP="003773D4">
      <w:pPr>
        <w:keepNext/>
        <w:spacing w:after="120" w:line="288" w:lineRule="auto"/>
        <w:outlineLvl w:val="0"/>
        <w:rPr>
          <w:b/>
        </w:rPr>
      </w:pPr>
      <w:r w:rsidRPr="00C412C0">
        <w:rPr>
          <w:b/>
        </w:rPr>
        <w:t xml:space="preserve">Figure X: </w:t>
      </w:r>
      <w:r w:rsidR="00C412C0" w:rsidRPr="00C412C0">
        <w:rPr>
          <w:b/>
        </w:rPr>
        <w:t>Appropatieness of Shared Decision Making</w:t>
      </w:r>
    </w:p>
    <w:p w14:paraId="29DE4700" w14:textId="492E5D61" w:rsidR="00C3453E" w:rsidRDefault="0069670B" w:rsidP="00C3453E">
      <w:pPr>
        <w:keepNext/>
        <w:spacing w:after="120" w:line="288" w:lineRule="auto"/>
        <w:outlineLvl w:val="0"/>
      </w:pPr>
      <w:r>
        <w:rPr>
          <w:noProof/>
        </w:rPr>
        <mc:AlternateContent>
          <mc:Choice Requires="wps">
            <w:drawing>
              <wp:anchor distT="45720" distB="45720" distL="114300" distR="114300" simplePos="0" relativeHeight="251659264" behindDoc="0" locked="0" layoutInCell="1" allowOverlap="1" wp14:anchorId="12C139CB" wp14:editId="14B0C4CB">
                <wp:simplePos x="0" y="0"/>
                <wp:positionH relativeFrom="column">
                  <wp:posOffset>895350</wp:posOffset>
                </wp:positionH>
                <wp:positionV relativeFrom="paragraph">
                  <wp:posOffset>564515</wp:posOffset>
                </wp:positionV>
                <wp:extent cx="139065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noFill/>
                        <a:ln w="9525">
                          <a:noFill/>
                          <a:miter lim="800000"/>
                          <a:headEnd/>
                          <a:tailEnd/>
                        </a:ln>
                      </wps:spPr>
                      <wps:txbx>
                        <w:txbxContent>
                          <w:p w14:paraId="79353F14" w14:textId="171BB2C6" w:rsidR="0069670B" w:rsidRPr="0069670B" w:rsidRDefault="0069670B" w:rsidP="002C1CE3">
                            <w:pPr>
                              <w:jc w:val="center"/>
                              <w:rPr>
                                <w:b/>
                                <w:sz w:val="24"/>
                              </w:rPr>
                            </w:pPr>
                            <w:r w:rsidRPr="0069670B">
                              <w:rPr>
                                <w:b/>
                                <w:sz w:val="24"/>
                              </w:rPr>
                              <w:t xml:space="preserve">Shared </w:t>
                            </w:r>
                            <w:r w:rsidR="002C1CE3">
                              <w:rPr>
                                <w:b/>
                                <w:sz w:val="24"/>
                              </w:rPr>
                              <w:br/>
                            </w:r>
                            <w:r w:rsidRPr="0069670B">
                              <w:rPr>
                                <w:b/>
                                <w:sz w:val="24"/>
                              </w:rPr>
                              <w:t xml:space="preserve">Decision </w:t>
                            </w:r>
                            <w:r w:rsidR="002C1CE3">
                              <w:rPr>
                                <w:b/>
                                <w:sz w:val="24"/>
                              </w:rPr>
                              <w:br/>
                            </w:r>
                            <w:r w:rsidRPr="0069670B">
                              <w:rPr>
                                <w:b/>
                                <w:sz w:val="24"/>
                              </w:rPr>
                              <w:t>Making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C139CB" id="_x0000_t202" coordsize="21600,21600" o:spt="202" path="m,l,21600r21600,l21600,xe">
                <v:stroke joinstyle="miter"/>
                <v:path gradientshapeok="t" o:connecttype="rect"/>
              </v:shapetype>
              <v:shape id="Text Box 2" o:spid="_x0000_s1026" type="#_x0000_t202" style="position:absolute;margin-left:70.5pt;margin-top:44.45pt;width:10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" filled="f" stroked="f">
                <v:textbox style="mso-fit-shape-to-text:t">
                  <w:txbxContent>
                    <w:p w14:paraId="79353F14" w14:textId="171BB2C6" w:rsidR="0069670B" w:rsidRPr="0069670B" w:rsidRDefault="0069670B" w:rsidP="002C1CE3">
                      <w:pPr>
                        <w:jc w:val="center"/>
                        <w:rPr>
                          <w:b/>
                          <w:sz w:val="24"/>
                        </w:rPr>
                      </w:pPr>
                      <w:r w:rsidRPr="0069670B">
                        <w:rPr>
                          <w:b/>
                          <w:sz w:val="24"/>
                        </w:rPr>
                        <w:t xml:space="preserve">Shared </w:t>
                      </w:r>
                      <w:r w:rsidR="002C1CE3">
                        <w:rPr>
                          <w:b/>
                          <w:sz w:val="24"/>
                        </w:rPr>
                        <w:br/>
                      </w:r>
                      <w:r w:rsidRPr="0069670B">
                        <w:rPr>
                          <w:b/>
                          <w:sz w:val="24"/>
                        </w:rPr>
                        <w:t xml:space="preserve">Decision </w:t>
                      </w:r>
                      <w:r w:rsidR="002C1CE3">
                        <w:rPr>
                          <w:b/>
                          <w:sz w:val="24"/>
                        </w:rPr>
                        <w:br/>
                      </w:r>
                      <w:r w:rsidRPr="0069670B">
                        <w:rPr>
                          <w:b/>
                          <w:sz w:val="24"/>
                        </w:rPr>
                        <w:t>Making</w:t>
                      </w:r>
                    </w:p>
                  </w:txbxContent>
                </v:textbox>
              </v:shape>
            </w:pict>
          </mc:Fallback>
        </mc:AlternateContent>
      </w:r>
      <w:r w:rsidR="00C3453E">
        <w:rPr>
          <w:noProof/>
        </w:rPr>
        <w:drawing>
          <wp:inline distT="0" distB="0" distL="0" distR="0" wp14:anchorId="6DEBC839" wp14:editId="782993F8">
            <wp:extent cx="3190875" cy="183832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4BBDDFF" w14:textId="376D72AE" w:rsidR="00E70566" w:rsidRPr="00B77ACA" w:rsidRDefault="00E70566" w:rsidP="003773D4">
      <w:pPr>
        <w:keepNext/>
        <w:spacing w:after="120" w:line="288" w:lineRule="auto"/>
        <w:outlineLvl w:val="0"/>
      </w:pPr>
      <w:r>
        <w:t xml:space="preserve">Shared decision making for preference-sensitive conditions </w:t>
      </w:r>
      <w:r w:rsidR="00C02156">
        <w:t>has been shown to help</w:t>
      </w:r>
      <w:r w:rsidR="00A54513">
        <w:t xml:space="preserve"> people gain knowledge about their healt</w:t>
      </w:r>
      <w:r w:rsidR="00F53411">
        <w:t xml:space="preserve">h condition(s) and possible outcomes of care and </w:t>
      </w:r>
      <w:r w:rsidR="00B67488">
        <w:t xml:space="preserve">to </w:t>
      </w:r>
      <w:r w:rsidR="00F53411">
        <w:t>have more confidence in their decisions.</w:t>
      </w:r>
      <w:r w:rsidR="00557564">
        <w:rPr>
          <w:rStyle w:val="EndnoteReference"/>
        </w:rPr>
        <w:endnoteReference w:id="3"/>
      </w:r>
      <w:r w:rsidR="003F2980">
        <w:t xml:space="preserve"> The process has also been associated with improved </w:t>
      </w:r>
      <w:r>
        <w:t xml:space="preserve">patient satisfaction with care, </w:t>
      </w:r>
      <w:r w:rsidR="00B67488">
        <w:t xml:space="preserve">improved </w:t>
      </w:r>
      <w:r>
        <w:t xml:space="preserve">health outcomes, and </w:t>
      </w:r>
      <w:r w:rsidR="003F2980">
        <w:t xml:space="preserve">with </w:t>
      </w:r>
      <w:r w:rsidR="00B67488">
        <w:t xml:space="preserve">better </w:t>
      </w:r>
      <w:r>
        <w:t>appropriateness of care.</w:t>
      </w:r>
      <w:r>
        <w:rPr>
          <w:rStyle w:val="EndnoteReference"/>
        </w:rPr>
        <w:endnoteReference w:id="4"/>
      </w:r>
      <w:r w:rsidRPr="00315DF9">
        <w:rPr>
          <w:vertAlign w:val="superscript"/>
        </w:rPr>
        <w:t>,</w:t>
      </w:r>
      <w:r>
        <w:rPr>
          <w:rStyle w:val="EndnoteReference"/>
        </w:rPr>
        <w:endnoteReference w:id="5"/>
      </w:r>
      <w:r>
        <w:rPr>
          <w:vertAlign w:val="superscript"/>
        </w:rPr>
        <w:t xml:space="preserve"> </w:t>
      </w:r>
      <w:r w:rsidR="00B77ACA">
        <w:t xml:space="preserve">Knee and hip replacement and prostate cancer screening are the most well-studied health conditions. </w:t>
      </w:r>
      <w:r w:rsidR="00EE386D">
        <w:t xml:space="preserve">Shared decision making can also help to </w:t>
      </w:r>
      <w:r w:rsidR="0025267D">
        <w:t>reduce</w:t>
      </w:r>
      <w:r w:rsidR="00EE386D">
        <w:t xml:space="preserve"> health disparities such as </w:t>
      </w:r>
      <w:r w:rsidR="00035115">
        <w:t xml:space="preserve">increasing rates of total knee replacement for black patients with </w:t>
      </w:r>
      <w:r w:rsidR="00724130">
        <w:t>osteoarthrosis</w:t>
      </w:r>
      <w:r w:rsidR="00035115">
        <w:t xml:space="preserve"> of the knee to rates closer to </w:t>
      </w:r>
      <w:r w:rsidR="00B67488">
        <w:t xml:space="preserve">that of </w:t>
      </w:r>
      <w:r w:rsidR="00035115">
        <w:t>white patients.</w:t>
      </w:r>
      <w:r w:rsidR="00035115">
        <w:rPr>
          <w:rStyle w:val="EndnoteReference"/>
        </w:rPr>
        <w:endnoteReference w:id="6"/>
      </w:r>
      <w:r w:rsidR="00035115">
        <w:t xml:space="preserve"> </w:t>
      </w:r>
    </w:p>
    <w:p w14:paraId="5CA5F027" w14:textId="105E4253" w:rsidR="00E70566" w:rsidRPr="008B6113" w:rsidRDefault="00E70566" w:rsidP="003773D4">
      <w:pPr>
        <w:keepNext/>
        <w:spacing w:after="120" w:line="288" w:lineRule="auto"/>
        <w:outlineLvl w:val="0"/>
      </w:pPr>
      <w:r>
        <w:t>Unfortunately, involving patients as equal partners in health care decisions that have</w:t>
      </w:r>
      <w:r w:rsidRPr="00426AA9">
        <w:t xml:space="preserve"> multiple clinically appropriate options </w:t>
      </w:r>
      <w:r>
        <w:t xml:space="preserve">by fully discussing risks and benefits </w:t>
      </w:r>
      <w:r w:rsidRPr="00AD3131">
        <w:t>remains limited within clinical practice</w:t>
      </w:r>
      <w:r>
        <w:t>.</w:t>
      </w:r>
      <w:r w:rsidR="00797FEB">
        <w:t xml:space="preserve"> </w:t>
      </w:r>
      <w:r w:rsidR="00422CB1">
        <w:t xml:space="preserve">Barriers to implementing shared decision making into clinical practice include provider time, being overworked, lack of training, lack of structural support including through electronic health records and the general workflow, </w:t>
      </w:r>
      <w:r w:rsidR="00D671AA">
        <w:t xml:space="preserve">fear of revenue loss, </w:t>
      </w:r>
      <w:r w:rsidR="00422CB1">
        <w:t>and decision aids themselves not being applicable to the specific patient’s characteristics or not being applicable to the specific clinical situation.</w:t>
      </w:r>
      <w:r w:rsidR="00422CB1" w:rsidRPr="00A13E13">
        <w:rPr>
          <w:rStyle w:val="EndnoteReference"/>
        </w:rPr>
        <w:endnoteReference w:id="7"/>
      </w:r>
      <w:r w:rsidR="00422CB1" w:rsidRPr="00A13E13">
        <w:rPr>
          <w:vertAlign w:val="superscript"/>
        </w:rPr>
        <w:t>,</w:t>
      </w:r>
      <w:r w:rsidR="00422CB1" w:rsidRPr="00A13E13">
        <w:rPr>
          <w:rStyle w:val="EndnoteReference"/>
        </w:rPr>
        <w:endnoteReference w:id="8"/>
      </w:r>
      <w:r w:rsidR="00422CB1">
        <w:t xml:space="preserve"> </w:t>
      </w:r>
      <w:r w:rsidR="00F53411">
        <w:t>Having a supportive clinical culture is paramount to successful implementation starting with engaged leadership.</w:t>
      </w:r>
      <w:r w:rsidR="00C74C76" w:rsidRPr="00C74C76">
        <w:rPr>
          <w:rStyle w:val="EndnoteReference"/>
        </w:rPr>
        <w:endnoteReference w:id="9"/>
      </w:r>
      <w:r w:rsidR="00F53411">
        <w:t xml:space="preserve"> </w:t>
      </w:r>
      <w:r w:rsidR="00850DE0">
        <w:t>Other than the converse of the barriers listed above, facili</w:t>
      </w:r>
      <w:r w:rsidR="00797FEB">
        <w:t xml:space="preserve">tators include providers being motivated and </w:t>
      </w:r>
      <w:r w:rsidR="0018621F">
        <w:t xml:space="preserve">providers </w:t>
      </w:r>
      <w:r w:rsidR="00850DE0">
        <w:t>seeing</w:t>
      </w:r>
      <w:r w:rsidR="0018621F">
        <w:t xml:space="preserve"> a </w:t>
      </w:r>
      <w:r w:rsidR="00797FEB">
        <w:t xml:space="preserve">positive impact on the clinical process or </w:t>
      </w:r>
      <w:r w:rsidR="0018621F">
        <w:t xml:space="preserve">on a </w:t>
      </w:r>
      <w:r w:rsidR="00797FEB">
        <w:t>patient’</w:t>
      </w:r>
      <w:r w:rsidR="008B6113">
        <w:t>s outcomes.</w:t>
      </w:r>
      <w:r w:rsidR="00C74C76">
        <w:rPr>
          <w:vertAlign w:val="superscript"/>
        </w:rPr>
        <w:t>7</w:t>
      </w:r>
      <w:r w:rsidR="008B6113">
        <w:t xml:space="preserve"> </w:t>
      </w:r>
    </w:p>
    <w:p w14:paraId="5D96EFD9" w14:textId="000160F7" w:rsidR="00F365C6" w:rsidRPr="009A12C0" w:rsidRDefault="00454947" w:rsidP="003773D4">
      <w:pPr>
        <w:spacing w:after="120" w:line="288" w:lineRule="auto"/>
      </w:pPr>
      <w:r>
        <w:t>The Washington State Health Care Authority (HCA) has worked to certify patient decision aids since April 2016.</w:t>
      </w:r>
      <w:r>
        <w:rPr>
          <w:rStyle w:val="EndnoteReference"/>
        </w:rPr>
        <w:endnoteReference w:id="10"/>
      </w:r>
      <w:r>
        <w:t xml:space="preserve"> Washington State law allows for shared decision making to meet informed consent </w:t>
      </w:r>
      <w:r w:rsidR="003F0855">
        <w:t xml:space="preserve">standards </w:t>
      </w:r>
      <w:r>
        <w:t>and supports the shared decision making process.</w:t>
      </w:r>
      <w:r>
        <w:rPr>
          <w:rStyle w:val="EndnoteReference"/>
        </w:rPr>
        <w:endnoteReference w:id="11"/>
      </w:r>
      <w:r w:rsidR="00120A73">
        <w:t xml:space="preserve"> </w:t>
      </w:r>
      <w:r w:rsidR="007203A5">
        <w:t>The HCA has certified patient decision aids for knee and hip osteoarthritis, advanced care planning, obstetrics (e.g., trial of labor after cesarean secion, birth options for large babies), and for spine surgery.</w:t>
      </w:r>
      <w:r w:rsidR="007203A5" w:rsidRPr="007203A5">
        <w:rPr>
          <w:vertAlign w:val="superscript"/>
        </w:rPr>
        <w:t>10</w:t>
      </w:r>
      <w:r w:rsidR="009A12C0">
        <w:t xml:space="preserve"> </w:t>
      </w:r>
    </w:p>
    <w:p w14:paraId="152B70EF" w14:textId="175A9369" w:rsidR="009E5091" w:rsidRDefault="009A12C0" w:rsidP="003773D4">
      <w:pPr>
        <w:spacing w:after="120" w:line="288" w:lineRule="auto"/>
      </w:pPr>
      <w:r>
        <w:t>Shared decision making is</w:t>
      </w:r>
      <w:r w:rsidR="00F365C6">
        <w:t xml:space="preserve"> identified in the statute that formed the Collaborative as a mechanism to increase use of evidence-based best practice.</w:t>
      </w:r>
      <w:r w:rsidR="00F365C6">
        <w:rPr>
          <w:rStyle w:val="EndnoteReference"/>
        </w:rPr>
        <w:endnoteReference w:id="12"/>
      </w:r>
      <w:r w:rsidR="00F365C6">
        <w:t xml:space="preserve"> </w:t>
      </w:r>
      <w:r w:rsidR="009E5091">
        <w:t xml:space="preserve">Shared decision making </w:t>
      </w:r>
      <w:r>
        <w:t xml:space="preserve">or use of patient decision aids have </w:t>
      </w:r>
      <w:r w:rsidR="009E5091">
        <w:t xml:space="preserve">been a component in the majority of Bree </w:t>
      </w:r>
      <w:r w:rsidR="00F365C6">
        <w:t xml:space="preserve">Collaborative recommendations. </w:t>
      </w:r>
    </w:p>
    <w:p w14:paraId="2F26742B" w14:textId="0178F1E3" w:rsidR="00A35A1C" w:rsidRDefault="00A35A1C">
      <w:pPr>
        <w:rPr>
          <w:rFonts w:eastAsiaTheme="majorEastAsia" w:cstheme="majorBidi"/>
          <w:b/>
          <w:color w:val="FFFFFF" w:themeColor="background1"/>
          <w:sz w:val="24"/>
          <w:szCs w:val="32"/>
        </w:rPr>
      </w:pPr>
      <w:bookmarkStart w:id="0" w:name="_Toc478465554"/>
      <w:bookmarkStart w:id="1" w:name="_Toc516822661"/>
    </w:p>
    <w:p w14:paraId="20373E0B" w14:textId="77777777" w:rsidR="002D400D" w:rsidRDefault="002D400D" w:rsidP="006D1091">
      <w:pPr>
        <w:pStyle w:val="Heading1"/>
      </w:pPr>
      <w:bookmarkStart w:id="2" w:name="_Toc478465349"/>
      <w:bookmarkStart w:id="3" w:name="_Toc478465501"/>
      <w:bookmarkStart w:id="4" w:name="_Toc478465563"/>
      <w:bookmarkStart w:id="5" w:name="_Toc516822686"/>
      <w:bookmarkEnd w:id="0"/>
      <w:bookmarkEnd w:id="1"/>
      <w:r>
        <w:lastRenderedPageBreak/>
        <w:t xml:space="preserve">Recommendations </w:t>
      </w:r>
    </w:p>
    <w:p w14:paraId="01C45952" w14:textId="719DBF3E" w:rsidR="00A35A1C" w:rsidRDefault="00A35A1C" w:rsidP="00A35A1C">
      <w:pPr>
        <w:spacing w:after="120" w:line="288" w:lineRule="auto"/>
      </w:pPr>
      <w:r>
        <w:t>The S</w:t>
      </w:r>
      <w:r w:rsidR="00CD68EE">
        <w:t xml:space="preserve">hared Decision Making workgroup’s </w:t>
      </w:r>
      <w:r w:rsidR="00CD68EE" w:rsidRPr="003A7BBC">
        <w:rPr>
          <w:color w:val="FF0000"/>
        </w:rPr>
        <w:t>goal is movement toward greater use of shared decision making in clinical practice, that all clinical sites move toward action</w:t>
      </w:r>
      <w:r w:rsidR="00CD68EE" w:rsidRPr="00DF3E3B">
        <w:rPr>
          <w:color w:val="FF0000"/>
        </w:rPr>
        <w:t xml:space="preserve">. </w:t>
      </w:r>
      <w:r w:rsidR="00DF3E3B" w:rsidRPr="00DF3E3B">
        <w:rPr>
          <w:color w:val="FF0000"/>
        </w:rPr>
        <w:t xml:space="preserve">The process of implementation and the specific clinical areas to be implemented are expected to be different from location to location as some areas have already seen greater update of shared decision making (e.g., Group Health Cooperative now Kaiser Permanente’s implementation of shared decision making for total joint replacement). </w:t>
      </w:r>
      <w:r w:rsidR="00CF5417">
        <w:t xml:space="preserve">The workgroup </w:t>
      </w:r>
      <w:r>
        <w:t xml:space="preserve">prioritized ten health conditions for which shared decision making is appropriate including: </w:t>
      </w:r>
    </w:p>
    <w:p w14:paraId="64A35110" w14:textId="77777777" w:rsidR="00A35A1C" w:rsidRPr="00A35A1C" w:rsidRDefault="00A35A1C" w:rsidP="00A35A1C">
      <w:pPr>
        <w:pStyle w:val="ListParagraph"/>
        <w:numPr>
          <w:ilvl w:val="0"/>
          <w:numId w:val="29"/>
        </w:numPr>
        <w:spacing w:after="0" w:line="240" w:lineRule="auto"/>
      </w:pPr>
      <w:r w:rsidRPr="00A35A1C">
        <w:t>Knee and Hip Osteoarthritis</w:t>
      </w:r>
    </w:p>
    <w:p w14:paraId="6869CE72" w14:textId="77777777" w:rsidR="00A35A1C" w:rsidRPr="00A35A1C" w:rsidRDefault="00A35A1C" w:rsidP="00A35A1C">
      <w:pPr>
        <w:pStyle w:val="ListParagraph"/>
        <w:numPr>
          <w:ilvl w:val="0"/>
          <w:numId w:val="29"/>
        </w:numPr>
        <w:spacing w:after="0" w:line="240" w:lineRule="auto"/>
      </w:pPr>
      <w:r w:rsidRPr="00A35A1C">
        <w:t>Abnormal Uterine Bleeding</w:t>
      </w:r>
    </w:p>
    <w:p w14:paraId="3E21D104" w14:textId="77777777" w:rsidR="00A35A1C" w:rsidRPr="00A35A1C" w:rsidRDefault="00A35A1C" w:rsidP="00A35A1C">
      <w:pPr>
        <w:pStyle w:val="ListParagraph"/>
        <w:numPr>
          <w:ilvl w:val="0"/>
          <w:numId w:val="29"/>
        </w:numPr>
        <w:spacing w:after="0" w:line="240" w:lineRule="auto"/>
      </w:pPr>
      <w:r w:rsidRPr="00A35A1C">
        <w:t>Advanced Care Planning</w:t>
      </w:r>
    </w:p>
    <w:p w14:paraId="325C6BFB" w14:textId="77777777" w:rsidR="00A35A1C" w:rsidRPr="00A35A1C" w:rsidRDefault="00A35A1C" w:rsidP="00A35A1C">
      <w:pPr>
        <w:pStyle w:val="ListParagraph"/>
        <w:numPr>
          <w:ilvl w:val="0"/>
          <w:numId w:val="29"/>
        </w:numPr>
        <w:spacing w:after="0" w:line="240" w:lineRule="auto"/>
      </w:pPr>
      <w:r w:rsidRPr="00A35A1C">
        <w:t>Prostate Specific Antigen Testing</w:t>
      </w:r>
    </w:p>
    <w:p w14:paraId="1EA75ABF" w14:textId="77777777" w:rsidR="00A35A1C" w:rsidRPr="00A35A1C" w:rsidRDefault="00A35A1C" w:rsidP="00A35A1C">
      <w:pPr>
        <w:pStyle w:val="ListParagraph"/>
        <w:numPr>
          <w:ilvl w:val="0"/>
          <w:numId w:val="29"/>
        </w:numPr>
        <w:spacing w:after="0" w:line="240" w:lineRule="auto"/>
      </w:pPr>
      <w:r w:rsidRPr="00A35A1C">
        <w:t>Depression Treatment</w:t>
      </w:r>
    </w:p>
    <w:p w14:paraId="15510DB5" w14:textId="77777777" w:rsidR="00A35A1C" w:rsidRPr="00A35A1C" w:rsidRDefault="00A35A1C" w:rsidP="00A35A1C">
      <w:pPr>
        <w:pStyle w:val="ListParagraph"/>
        <w:numPr>
          <w:ilvl w:val="0"/>
          <w:numId w:val="29"/>
        </w:numPr>
        <w:spacing w:after="0" w:line="240" w:lineRule="auto"/>
      </w:pPr>
      <w:r w:rsidRPr="00A35A1C">
        <w:t xml:space="preserve">Attention Deficit Hyperactivity Disorder Treatment </w:t>
      </w:r>
    </w:p>
    <w:p w14:paraId="618794B2" w14:textId="77777777" w:rsidR="00A35A1C" w:rsidRPr="00A35A1C" w:rsidRDefault="00A35A1C" w:rsidP="00A35A1C">
      <w:pPr>
        <w:pStyle w:val="ListParagraph"/>
        <w:numPr>
          <w:ilvl w:val="0"/>
          <w:numId w:val="29"/>
        </w:numPr>
        <w:spacing w:after="0" w:line="240" w:lineRule="auto"/>
      </w:pPr>
      <w:r w:rsidRPr="00A35A1C">
        <w:t>Breast Cancer Screening</w:t>
      </w:r>
    </w:p>
    <w:p w14:paraId="2960567E" w14:textId="77777777" w:rsidR="00A35A1C" w:rsidRPr="00A35A1C" w:rsidRDefault="00A35A1C" w:rsidP="00A35A1C">
      <w:pPr>
        <w:pStyle w:val="ListParagraph"/>
        <w:numPr>
          <w:ilvl w:val="0"/>
          <w:numId w:val="29"/>
        </w:numPr>
        <w:spacing w:after="0" w:line="240" w:lineRule="auto"/>
      </w:pPr>
      <w:r w:rsidRPr="00A35A1C">
        <w:t xml:space="preserve">Opioid Use Disorder Treatment </w:t>
      </w:r>
    </w:p>
    <w:p w14:paraId="6FE2F3D7" w14:textId="77777777" w:rsidR="00A35A1C" w:rsidRPr="00A35A1C" w:rsidRDefault="00A35A1C" w:rsidP="00A35A1C">
      <w:pPr>
        <w:pStyle w:val="ListParagraph"/>
        <w:numPr>
          <w:ilvl w:val="0"/>
          <w:numId w:val="29"/>
        </w:numPr>
        <w:spacing w:after="0" w:line="240" w:lineRule="auto"/>
      </w:pPr>
      <w:r w:rsidRPr="00A35A1C">
        <w:t xml:space="preserve">Trial of Labor After Cesarean Section </w:t>
      </w:r>
    </w:p>
    <w:p w14:paraId="70B177AA" w14:textId="77777777" w:rsidR="00A35A1C" w:rsidRPr="00A35A1C" w:rsidRDefault="00A35A1C" w:rsidP="002C3BEF">
      <w:pPr>
        <w:pStyle w:val="ListParagraph"/>
        <w:numPr>
          <w:ilvl w:val="0"/>
          <w:numId w:val="29"/>
        </w:numPr>
        <w:spacing w:after="120" w:line="240" w:lineRule="auto"/>
      </w:pPr>
      <w:r w:rsidRPr="00A35A1C">
        <w:t>Spine Surgery (Lumbar Fusion)</w:t>
      </w:r>
    </w:p>
    <w:p w14:paraId="3C5E273E" w14:textId="3B669C0D" w:rsidR="00FC0401" w:rsidRDefault="00FC0401" w:rsidP="00FC0401">
      <w:r>
        <w:t>The workgroup</w:t>
      </w:r>
      <w:r w:rsidR="0017790B">
        <w:t xml:space="preserve"> </w:t>
      </w:r>
      <w:r w:rsidRPr="00FC0401">
        <w:t>does not recommend specific patient decision aids but does encourage use of HCA certified aids.</w:t>
      </w:r>
      <w:r>
        <w:t xml:space="preserve"> HCA decision aids have been certified by the medical director via an adapting the International Patient Decision Aid Standards (IPDAS). More information </w:t>
      </w:r>
      <w:hyperlink r:id="rId13" w:history="1">
        <w:r w:rsidRPr="00FC0401">
          <w:rPr>
            <w:rStyle w:val="Hyperlink"/>
          </w:rPr>
          <w:t>here</w:t>
        </w:r>
      </w:hyperlink>
      <w:r>
        <w:t xml:space="preserve">. The Pateint Education Materials Assessment Tool, developed by AHRQ, is focused on patient education materials (more narrow than shared decision making). More information </w:t>
      </w:r>
      <w:hyperlink r:id="rId14" w:history="1">
        <w:r w:rsidRPr="00FC0401">
          <w:rPr>
            <w:rStyle w:val="Hyperlink"/>
          </w:rPr>
          <w:t>here</w:t>
        </w:r>
      </w:hyperlink>
      <w:r>
        <w:t xml:space="preserve">. </w:t>
      </w:r>
    </w:p>
    <w:p w14:paraId="054D1E4A" w14:textId="1B649CC8" w:rsidR="00CD3FF8" w:rsidRDefault="00A35A1C" w:rsidP="00A35A1C">
      <w:r>
        <w:t xml:space="preserve">The workgroup staged the ten areas </w:t>
      </w:r>
      <w:r w:rsidR="00CD3FF8">
        <w:t xml:space="preserve">based on how widely used shared decision making within the health service area is, whether aids are available, and whether aids are certified by the HCA. See </w:t>
      </w:r>
      <w:r w:rsidR="00CD3FF8" w:rsidRPr="007B3293">
        <w:rPr>
          <w:b/>
        </w:rPr>
        <w:t>Table 1</w:t>
      </w:r>
      <w:r w:rsidR="004A1A79">
        <w:t xml:space="preserve"> on </w:t>
      </w:r>
      <w:r w:rsidR="00CD3FF8">
        <w:t>page</w:t>
      </w:r>
      <w:r w:rsidR="004A1A79">
        <w:t xml:space="preserve"> X</w:t>
      </w:r>
      <w:r w:rsidR="00CD3FF8">
        <w:t>. Stages include:</w:t>
      </w:r>
    </w:p>
    <w:p w14:paraId="35E05940" w14:textId="77777777" w:rsidR="00A35A1C" w:rsidRDefault="00A35A1C" w:rsidP="00CD3FF8">
      <w:pPr>
        <w:pStyle w:val="ListParagraph"/>
        <w:numPr>
          <w:ilvl w:val="0"/>
          <w:numId w:val="31"/>
        </w:numPr>
      </w:pPr>
      <w:r w:rsidRPr="007630B8">
        <w:t>Existing pilots to widely used</w:t>
      </w:r>
    </w:p>
    <w:p w14:paraId="7ACCC4BD" w14:textId="77777777" w:rsidR="00A35A1C" w:rsidRDefault="00A35A1C" w:rsidP="00CD3FF8">
      <w:pPr>
        <w:pStyle w:val="ListParagraph"/>
        <w:numPr>
          <w:ilvl w:val="0"/>
          <w:numId w:val="31"/>
        </w:numPr>
      </w:pPr>
      <w:r w:rsidRPr="007630B8">
        <w:t>Certified, not widely used</w:t>
      </w:r>
    </w:p>
    <w:p w14:paraId="1CA4745C" w14:textId="77777777" w:rsidR="00A35A1C" w:rsidRDefault="00A35A1C" w:rsidP="00CD3FF8">
      <w:pPr>
        <w:pStyle w:val="ListParagraph"/>
        <w:numPr>
          <w:ilvl w:val="0"/>
          <w:numId w:val="31"/>
        </w:numPr>
      </w:pPr>
      <w:r w:rsidRPr="007630B8">
        <w:t>Aids available, not certified, not widely used</w:t>
      </w:r>
    </w:p>
    <w:p w14:paraId="6C109DE6" w14:textId="77777777" w:rsidR="00A35A1C" w:rsidRPr="007630B8" w:rsidRDefault="00A35A1C" w:rsidP="00CD3FF8">
      <w:pPr>
        <w:pStyle w:val="ListParagraph"/>
        <w:numPr>
          <w:ilvl w:val="0"/>
          <w:numId w:val="31"/>
        </w:numPr>
      </w:pPr>
      <w:r w:rsidRPr="007630B8">
        <w:t>No aids available or few aids (want to incentivize creation of aids)</w:t>
      </w:r>
    </w:p>
    <w:p w14:paraId="6370B714" w14:textId="54887C25" w:rsidR="00CD3FF8" w:rsidRDefault="00CD3FF8" w:rsidP="00CD3FF8">
      <w:r>
        <w:t xml:space="preserve">The workgroup categorized the ten areas </w:t>
      </w:r>
      <w:r w:rsidRPr="00CD3FF8">
        <w:t xml:space="preserve">based on </w:t>
      </w:r>
      <w:r>
        <w:t xml:space="preserve">type of health care service. Similar areas, such as those that </w:t>
      </w:r>
      <w:r w:rsidR="00882988">
        <w:t>concern</w:t>
      </w:r>
      <w:r>
        <w:t xml:space="preserve"> surgical procedures or </w:t>
      </w:r>
      <w:r w:rsidR="00882988">
        <w:t>those that concern</w:t>
      </w:r>
      <w:r w:rsidR="008A0ABC">
        <w:t xml:space="preserve"> whether or not to undergo screening for a type of cancer</w:t>
      </w:r>
      <w:r>
        <w:t xml:space="preserve">, are assumed to </w:t>
      </w:r>
      <w:r w:rsidR="000E109C">
        <w:t>assist</w:t>
      </w:r>
      <w:r>
        <w:t xml:space="preserve"> with implementation of one another based on similar workflows. </w:t>
      </w:r>
      <w:r w:rsidRPr="00CD3FF8">
        <w:t xml:space="preserve"> </w:t>
      </w:r>
      <w:r w:rsidR="005A6E89">
        <w:t>For example, l</w:t>
      </w:r>
      <w:r w:rsidR="00CF1ABC">
        <w:t xml:space="preserve">earnings from a pilot for breast cancer screening could be applied to prostate cancer screening. </w:t>
      </w:r>
      <w:r>
        <w:t>Categories include:</w:t>
      </w:r>
    </w:p>
    <w:p w14:paraId="444623FC" w14:textId="77777777" w:rsidR="00A35A1C" w:rsidRDefault="00A35A1C" w:rsidP="00CD3FF8">
      <w:pPr>
        <w:pStyle w:val="ListParagraph"/>
        <w:numPr>
          <w:ilvl w:val="0"/>
          <w:numId w:val="3"/>
        </w:numPr>
      </w:pPr>
      <w:r>
        <w:t>Procedural</w:t>
      </w:r>
    </w:p>
    <w:p w14:paraId="51DF47B9" w14:textId="77777777" w:rsidR="00A35A1C" w:rsidRDefault="00A35A1C" w:rsidP="00CD3FF8">
      <w:pPr>
        <w:pStyle w:val="ListParagraph"/>
        <w:numPr>
          <w:ilvl w:val="0"/>
          <w:numId w:val="3"/>
        </w:numPr>
      </w:pPr>
      <w:r>
        <w:t>Advance care planning</w:t>
      </w:r>
    </w:p>
    <w:p w14:paraId="7DCF617D" w14:textId="77777777" w:rsidR="00A35A1C" w:rsidRDefault="00A35A1C" w:rsidP="00CD3FF8">
      <w:pPr>
        <w:pStyle w:val="ListParagraph"/>
        <w:numPr>
          <w:ilvl w:val="0"/>
          <w:numId w:val="3"/>
        </w:numPr>
      </w:pPr>
      <w:r>
        <w:t>Screening</w:t>
      </w:r>
    </w:p>
    <w:p w14:paraId="17DBFE16" w14:textId="77777777" w:rsidR="00A35A1C" w:rsidRDefault="00A35A1C" w:rsidP="00CD3FF8">
      <w:pPr>
        <w:pStyle w:val="ListParagraph"/>
        <w:numPr>
          <w:ilvl w:val="0"/>
          <w:numId w:val="3"/>
        </w:numPr>
      </w:pPr>
      <w:r>
        <w:t xml:space="preserve">Behavioral health </w:t>
      </w:r>
    </w:p>
    <w:p w14:paraId="403DDF59" w14:textId="7563BF50" w:rsidR="00273B43" w:rsidRDefault="00273B43" w:rsidP="00273B43">
      <w:pPr>
        <w:pStyle w:val="Heading2"/>
      </w:pPr>
      <w:r>
        <w:t xml:space="preserve">Implementation Process and Staging </w:t>
      </w:r>
    </w:p>
    <w:p w14:paraId="4F57A84B" w14:textId="62335484" w:rsidR="002C0AAE" w:rsidRDefault="00273B43" w:rsidP="00DC19F4">
      <w:r>
        <w:t xml:space="preserve">There are many paradigms under which to implement shared decision making. </w:t>
      </w:r>
      <w:r w:rsidR="00DC19F4">
        <w:t xml:space="preserve">The workgroup endorses the </w:t>
      </w:r>
      <w:r w:rsidR="002D400D">
        <w:t>National Quality Partner’s Playbook: Shared Decision Making</w:t>
      </w:r>
      <w:r w:rsidR="002C0AAE">
        <w:t xml:space="preserve"> in Healthcare</w:t>
      </w:r>
      <w:r w:rsidR="00FB7290">
        <w:t xml:space="preserve">. The shared decision fundamentals for healthcare organizations </w:t>
      </w:r>
      <w:r w:rsidR="00B86AE3">
        <w:t>are separated into steps of basic, intermediate, and advanced and at a high-level include:</w:t>
      </w:r>
    </w:p>
    <w:p w14:paraId="7CA32920" w14:textId="7D56647C" w:rsidR="00FB7290" w:rsidRDefault="00FB7290" w:rsidP="00FB7290">
      <w:pPr>
        <w:pStyle w:val="ListParagraph"/>
        <w:numPr>
          <w:ilvl w:val="0"/>
          <w:numId w:val="34"/>
        </w:numPr>
      </w:pPr>
      <w:r>
        <w:t xml:space="preserve">Leadership and culture </w:t>
      </w:r>
    </w:p>
    <w:p w14:paraId="1A6DB21B" w14:textId="7344A356" w:rsidR="00FB7290" w:rsidRDefault="00FB7290" w:rsidP="00FB7290">
      <w:pPr>
        <w:pStyle w:val="ListParagraph"/>
        <w:numPr>
          <w:ilvl w:val="0"/>
          <w:numId w:val="34"/>
        </w:numPr>
      </w:pPr>
      <w:r>
        <w:t>Patient education and engagement</w:t>
      </w:r>
    </w:p>
    <w:p w14:paraId="7659EF77" w14:textId="12367E69" w:rsidR="00FB7290" w:rsidRDefault="00FB7290" w:rsidP="00FB7290">
      <w:pPr>
        <w:pStyle w:val="ListParagraph"/>
        <w:numPr>
          <w:ilvl w:val="0"/>
          <w:numId w:val="34"/>
        </w:numPr>
      </w:pPr>
      <w:r>
        <w:t xml:space="preserve">Healthcare team knowledge and training </w:t>
      </w:r>
    </w:p>
    <w:p w14:paraId="2B3B04DE" w14:textId="375FFF52" w:rsidR="00FB7290" w:rsidRDefault="00FB7290" w:rsidP="00FB7290">
      <w:pPr>
        <w:pStyle w:val="ListParagraph"/>
        <w:numPr>
          <w:ilvl w:val="0"/>
          <w:numId w:val="34"/>
        </w:numPr>
      </w:pPr>
      <w:r>
        <w:t xml:space="preserve">Action and implementation </w:t>
      </w:r>
    </w:p>
    <w:p w14:paraId="4F9C39BE" w14:textId="4990BADC" w:rsidR="00FB7290" w:rsidRDefault="00FB7290" w:rsidP="00FB7290">
      <w:pPr>
        <w:pStyle w:val="ListParagraph"/>
        <w:numPr>
          <w:ilvl w:val="0"/>
          <w:numId w:val="34"/>
        </w:numPr>
      </w:pPr>
      <w:r>
        <w:t xml:space="preserve">Tracking, monitoring and reporting </w:t>
      </w:r>
    </w:p>
    <w:p w14:paraId="78D2C9B2" w14:textId="505D53E0" w:rsidR="00FB7290" w:rsidRDefault="00FB7290" w:rsidP="00FB7290">
      <w:pPr>
        <w:pStyle w:val="ListParagraph"/>
        <w:numPr>
          <w:ilvl w:val="0"/>
          <w:numId w:val="34"/>
        </w:numPr>
      </w:pPr>
      <w:r>
        <w:t xml:space="preserve">Accountability </w:t>
      </w:r>
    </w:p>
    <w:p w14:paraId="08571EE3" w14:textId="77777777" w:rsidR="00273B43" w:rsidRDefault="00273B43" w:rsidP="00273B43">
      <w:r>
        <w:t>The Agency for Healthcare Research and Policy (AHRQ) developed the SHARE (Seek, Help, Assess, Reach, Evaluate) approach outlining shared decision making including steps to:</w:t>
      </w:r>
      <w:r>
        <w:rPr>
          <w:rStyle w:val="EndnoteReference"/>
        </w:rPr>
        <w:endnoteReference w:id="13"/>
      </w:r>
    </w:p>
    <w:p w14:paraId="114896C0" w14:textId="77777777" w:rsidR="00273B43" w:rsidRDefault="00273B43" w:rsidP="00273B43">
      <w:pPr>
        <w:pStyle w:val="ListParagraph"/>
        <w:numPr>
          <w:ilvl w:val="0"/>
          <w:numId w:val="32"/>
        </w:numPr>
      </w:pPr>
      <w:r>
        <w:t>Seek your patient's participation.</w:t>
      </w:r>
    </w:p>
    <w:p w14:paraId="28CC04A4" w14:textId="77777777" w:rsidR="00273B43" w:rsidRDefault="00273B43" w:rsidP="00273B43">
      <w:pPr>
        <w:pStyle w:val="ListParagraph"/>
        <w:numPr>
          <w:ilvl w:val="0"/>
          <w:numId w:val="32"/>
        </w:numPr>
      </w:pPr>
      <w:r>
        <w:t>Help your patient explore and compare treatment options.</w:t>
      </w:r>
    </w:p>
    <w:p w14:paraId="35DAC698" w14:textId="77777777" w:rsidR="00273B43" w:rsidRDefault="00273B43" w:rsidP="00273B43">
      <w:pPr>
        <w:pStyle w:val="ListParagraph"/>
        <w:numPr>
          <w:ilvl w:val="0"/>
          <w:numId w:val="32"/>
        </w:numPr>
      </w:pPr>
      <w:r>
        <w:t>Assess your patient's values and preferences.</w:t>
      </w:r>
    </w:p>
    <w:p w14:paraId="250185D8" w14:textId="77777777" w:rsidR="00273B43" w:rsidRDefault="00273B43" w:rsidP="00273B43">
      <w:pPr>
        <w:pStyle w:val="ListParagraph"/>
        <w:numPr>
          <w:ilvl w:val="0"/>
          <w:numId w:val="32"/>
        </w:numPr>
      </w:pPr>
      <w:r>
        <w:t>Reach a decision with your patient.</w:t>
      </w:r>
    </w:p>
    <w:p w14:paraId="46787407" w14:textId="77777777" w:rsidR="00273B43" w:rsidRDefault="00273B43" w:rsidP="00273B43">
      <w:pPr>
        <w:pStyle w:val="ListParagraph"/>
        <w:numPr>
          <w:ilvl w:val="0"/>
          <w:numId w:val="32"/>
        </w:numPr>
      </w:pPr>
      <w:r>
        <w:t>Evaluate your patient's decision.</w:t>
      </w:r>
    </w:p>
    <w:p w14:paraId="1608121A" w14:textId="77777777" w:rsidR="00273B43" w:rsidRDefault="00273B43" w:rsidP="00273B43">
      <w:r>
        <w:t>At a practice or site level, SHARE outlines the following steps:</w:t>
      </w:r>
    </w:p>
    <w:p w14:paraId="4EAB35F4" w14:textId="77777777" w:rsidR="00273B43" w:rsidRDefault="00273B43" w:rsidP="00273B43">
      <w:pPr>
        <w:pStyle w:val="ListParagraph"/>
        <w:numPr>
          <w:ilvl w:val="0"/>
          <w:numId w:val="33"/>
        </w:numPr>
      </w:pPr>
      <w:r>
        <w:t>Get leadership buy-in.</w:t>
      </w:r>
    </w:p>
    <w:p w14:paraId="1941A88F" w14:textId="77777777" w:rsidR="00273B43" w:rsidRDefault="00273B43" w:rsidP="00273B43">
      <w:pPr>
        <w:pStyle w:val="ListParagraph"/>
        <w:numPr>
          <w:ilvl w:val="0"/>
          <w:numId w:val="33"/>
        </w:numPr>
      </w:pPr>
      <w:r>
        <w:t>Develop an implementation team.</w:t>
      </w:r>
    </w:p>
    <w:p w14:paraId="06EC4467" w14:textId="77777777" w:rsidR="00273B43" w:rsidRDefault="00273B43" w:rsidP="00273B43">
      <w:pPr>
        <w:pStyle w:val="ListParagraph"/>
        <w:numPr>
          <w:ilvl w:val="0"/>
          <w:numId w:val="33"/>
        </w:numPr>
      </w:pPr>
      <w:r>
        <w:t>Select an approach that is tailored to your practice.</w:t>
      </w:r>
    </w:p>
    <w:p w14:paraId="3108DDB7" w14:textId="77777777" w:rsidR="00273B43" w:rsidRDefault="00273B43" w:rsidP="00273B43">
      <w:pPr>
        <w:pStyle w:val="ListParagraph"/>
        <w:numPr>
          <w:ilvl w:val="0"/>
          <w:numId w:val="33"/>
        </w:numPr>
      </w:pPr>
      <w:r>
        <w:t>Provide training and ongoing support to all staff.</w:t>
      </w:r>
    </w:p>
    <w:p w14:paraId="3C2E7518" w14:textId="77777777" w:rsidR="00273B43" w:rsidRDefault="00273B43" w:rsidP="00273B43">
      <w:pPr>
        <w:pStyle w:val="ListParagraph"/>
        <w:numPr>
          <w:ilvl w:val="0"/>
          <w:numId w:val="33"/>
        </w:numPr>
      </w:pPr>
      <w:r>
        <w:t>Start small, then take it to scale.</w:t>
      </w:r>
    </w:p>
    <w:p w14:paraId="5D4EFBB9" w14:textId="77777777" w:rsidR="00273B43" w:rsidRDefault="00273B43" w:rsidP="00273B43">
      <w:pPr>
        <w:pStyle w:val="ListParagraph"/>
        <w:numPr>
          <w:ilvl w:val="0"/>
          <w:numId w:val="33"/>
        </w:numPr>
      </w:pPr>
      <w:r>
        <w:t>Create a physical setting for shared decisionmaking.</w:t>
      </w:r>
    </w:p>
    <w:p w14:paraId="3A1BD886" w14:textId="77777777" w:rsidR="00273B43" w:rsidRDefault="00273B43" w:rsidP="00273B43">
      <w:pPr>
        <w:pStyle w:val="ListParagraph"/>
        <w:numPr>
          <w:ilvl w:val="0"/>
          <w:numId w:val="33"/>
        </w:numPr>
      </w:pPr>
      <w:r>
        <w:t>Create a library of evidence-based educational resources and decision aids.</w:t>
      </w:r>
    </w:p>
    <w:p w14:paraId="594E713B" w14:textId="77777777" w:rsidR="00273B43" w:rsidRDefault="00273B43" w:rsidP="00273B43">
      <w:pPr>
        <w:pStyle w:val="ListParagraph"/>
        <w:numPr>
          <w:ilvl w:val="0"/>
          <w:numId w:val="33"/>
        </w:numPr>
      </w:pPr>
      <w:r>
        <w:t>Streamline shared decisionmaking work processes into day-to-day operations.</w:t>
      </w:r>
    </w:p>
    <w:p w14:paraId="315ADB7F" w14:textId="77777777" w:rsidR="00273B43" w:rsidRDefault="00273B43" w:rsidP="00273B43">
      <w:pPr>
        <w:pStyle w:val="ListParagraph"/>
        <w:numPr>
          <w:ilvl w:val="0"/>
          <w:numId w:val="33"/>
        </w:numPr>
      </w:pPr>
      <w:r>
        <w:t>Evaluate the ongoing implementation of shared decisionmaking.</w:t>
      </w:r>
    </w:p>
    <w:p w14:paraId="05A362AB" w14:textId="77777777" w:rsidR="00273B43" w:rsidRDefault="00273B43" w:rsidP="00273B43">
      <w:pPr>
        <w:ind w:firstLine="360"/>
      </w:pPr>
      <w:r>
        <w:t xml:space="preserve">More information is </w:t>
      </w:r>
      <w:hyperlink r:id="rId15" w:history="1">
        <w:r w:rsidRPr="004126FC">
          <w:rPr>
            <w:rStyle w:val="Hyperlink"/>
          </w:rPr>
          <w:t>here</w:t>
        </w:r>
      </w:hyperlink>
      <w:r>
        <w:t>.</w:t>
      </w:r>
    </w:p>
    <w:p w14:paraId="680CF131" w14:textId="12E24ADF" w:rsidR="00273B43" w:rsidRDefault="00273B43" w:rsidP="00273B43">
      <w:hyperlink r:id="rId16" w:history="1">
        <w:r w:rsidRPr="00CD68EE">
          <w:rPr>
            <w:rStyle w:val="Hyperlink"/>
          </w:rPr>
          <w:t>Dartmouth Hitchcock</w:t>
        </w:r>
      </w:hyperlink>
      <w:r>
        <w:t xml:space="preserve"> </w:t>
      </w:r>
      <w:r w:rsidR="00FB7290">
        <w:t xml:space="preserve">also outlines steps for shared decision making implementation </w:t>
      </w:r>
    </w:p>
    <w:p w14:paraId="538DD20C" w14:textId="2FFB9F06" w:rsidR="00273B43" w:rsidRDefault="00273B43" w:rsidP="00FB7290">
      <w:pPr>
        <w:pStyle w:val="ListParagraph"/>
        <w:numPr>
          <w:ilvl w:val="0"/>
          <w:numId w:val="35"/>
        </w:numPr>
      </w:pPr>
      <w:r>
        <w:t>Leadership</w:t>
      </w:r>
    </w:p>
    <w:p w14:paraId="02BFE9C2" w14:textId="0E5EF879" w:rsidR="00273B43" w:rsidRDefault="00273B43" w:rsidP="00FB7290">
      <w:pPr>
        <w:pStyle w:val="ListParagraph"/>
        <w:numPr>
          <w:ilvl w:val="0"/>
          <w:numId w:val="35"/>
        </w:numPr>
      </w:pPr>
      <w:r>
        <w:t>Goals and Scope of Project</w:t>
      </w:r>
    </w:p>
    <w:p w14:paraId="17777153" w14:textId="6C6EFAEB" w:rsidR="00273B43" w:rsidRDefault="00273B43" w:rsidP="00FB7290">
      <w:pPr>
        <w:pStyle w:val="ListParagraph"/>
        <w:numPr>
          <w:ilvl w:val="0"/>
          <w:numId w:val="35"/>
        </w:numPr>
      </w:pPr>
      <w:r>
        <w:t>Assessment</w:t>
      </w:r>
    </w:p>
    <w:p w14:paraId="5C433952" w14:textId="789CF5B7" w:rsidR="00273B43" w:rsidRDefault="00273B43" w:rsidP="00FB7290">
      <w:pPr>
        <w:pStyle w:val="ListParagraph"/>
        <w:numPr>
          <w:ilvl w:val="0"/>
          <w:numId w:val="35"/>
        </w:numPr>
      </w:pPr>
      <w:r>
        <w:t>Decision Support Tools</w:t>
      </w:r>
    </w:p>
    <w:p w14:paraId="19FAEA2A" w14:textId="388B607F" w:rsidR="00273B43" w:rsidRDefault="00273B43" w:rsidP="00FB7290">
      <w:pPr>
        <w:pStyle w:val="ListParagraph"/>
        <w:numPr>
          <w:ilvl w:val="0"/>
          <w:numId w:val="35"/>
        </w:numPr>
      </w:pPr>
      <w:r>
        <w:t>Education and Training</w:t>
      </w:r>
    </w:p>
    <w:p w14:paraId="49F60BE6" w14:textId="5601BB15" w:rsidR="00273B43" w:rsidRDefault="00273B43" w:rsidP="00FB7290">
      <w:pPr>
        <w:pStyle w:val="ListParagraph"/>
        <w:numPr>
          <w:ilvl w:val="0"/>
          <w:numId w:val="35"/>
        </w:numPr>
      </w:pPr>
      <w:r>
        <w:t>Implementation</w:t>
      </w:r>
    </w:p>
    <w:p w14:paraId="7F334AB2" w14:textId="1B72F165" w:rsidR="00273B43" w:rsidRDefault="00273B43" w:rsidP="00FB7290">
      <w:pPr>
        <w:pStyle w:val="ListParagraph"/>
        <w:numPr>
          <w:ilvl w:val="0"/>
          <w:numId w:val="35"/>
        </w:numPr>
      </w:pPr>
      <w:r>
        <w:t>Quality Monitoring Tools</w:t>
      </w:r>
    </w:p>
    <w:p w14:paraId="6D99A5FA" w14:textId="77777777" w:rsidR="00273B43" w:rsidRDefault="00273B43" w:rsidP="00273B43">
      <w:pPr>
        <w:rPr>
          <w:rFonts w:eastAsiaTheme="majorEastAsia" w:cstheme="majorBidi"/>
          <w:b/>
          <w:color w:val="FFFFFF" w:themeColor="background1"/>
          <w:sz w:val="24"/>
          <w:szCs w:val="32"/>
        </w:rPr>
      </w:pPr>
      <w:bookmarkStart w:id="6" w:name="_GoBack"/>
      <w:bookmarkEnd w:id="6"/>
      <w:r>
        <w:rPr>
          <w:rFonts w:eastAsiaTheme="majorEastAsia" w:cstheme="majorBidi"/>
          <w:b/>
          <w:color w:val="FFFFFF" w:themeColor="background1"/>
          <w:sz w:val="24"/>
          <w:szCs w:val="32"/>
        </w:rPr>
        <w:br w:type="page"/>
      </w:r>
    </w:p>
    <w:p w14:paraId="0EAF5A46" w14:textId="77777777" w:rsidR="00273B43" w:rsidRDefault="00273B43" w:rsidP="00DC19F4"/>
    <w:p w14:paraId="307D171E" w14:textId="77777777" w:rsidR="0060422B" w:rsidRPr="0063780C" w:rsidRDefault="0060422B" w:rsidP="0060422B">
      <w:pPr>
        <w:pStyle w:val="Heading1"/>
      </w:pPr>
      <w:r>
        <w:t xml:space="preserve">Recommendations for </w:t>
      </w:r>
      <w:r w:rsidRPr="0063780C">
        <w:t>Stakeholder Actions and Quality Improvement Strategies</w:t>
      </w:r>
    </w:p>
    <w:p w14:paraId="49EC9FE2" w14:textId="77777777" w:rsidR="0060422B" w:rsidRPr="000D4A58" w:rsidRDefault="0060422B" w:rsidP="0060422B">
      <w:pPr>
        <w:jc w:val="center"/>
        <w:rPr>
          <w:b/>
        </w:rPr>
      </w:pPr>
      <w:bookmarkStart w:id="7" w:name="_Toc478384810"/>
      <w:bookmarkStart w:id="8" w:name="_Toc505248301"/>
      <w:bookmarkStart w:id="9" w:name="_Toc505248345"/>
      <w:r w:rsidRPr="000D4A58">
        <w:rPr>
          <w:b/>
        </w:rPr>
        <w:t>Do not use these recommendations in lieu of medical advice.</w:t>
      </w:r>
    </w:p>
    <w:p w14:paraId="15BE6D9B" w14:textId="77777777" w:rsidR="0060422B" w:rsidRPr="00FA1898" w:rsidRDefault="0060422B" w:rsidP="0060422B">
      <w:pPr>
        <w:pStyle w:val="Heading2"/>
      </w:pPr>
      <w:bookmarkStart w:id="10" w:name="_Toc516822662"/>
      <w:r w:rsidRPr="00FA1898">
        <w:t>Patients and Family Members</w:t>
      </w:r>
      <w:bookmarkEnd w:id="7"/>
      <w:bookmarkEnd w:id="8"/>
      <w:bookmarkEnd w:id="9"/>
      <w:bookmarkEnd w:id="10"/>
      <w:r w:rsidRPr="00FA1898">
        <w:t xml:space="preserve"> </w:t>
      </w:r>
    </w:p>
    <w:p w14:paraId="457F983E" w14:textId="77777777" w:rsidR="0060422B" w:rsidRDefault="0060422B" w:rsidP="0060422B">
      <w:pPr>
        <w:numPr>
          <w:ilvl w:val="0"/>
          <w:numId w:val="4"/>
        </w:numPr>
        <w:contextualSpacing/>
      </w:pPr>
      <w:r>
        <w:t>Understand value of shared decision making</w:t>
      </w:r>
    </w:p>
    <w:p w14:paraId="4B00608F" w14:textId="77777777" w:rsidR="0060422B" w:rsidRDefault="0060422B" w:rsidP="0060422B">
      <w:pPr>
        <w:numPr>
          <w:ilvl w:val="0"/>
          <w:numId w:val="4"/>
        </w:numPr>
        <w:contextualSpacing/>
      </w:pPr>
      <w:r>
        <w:t>Request shared decision making</w:t>
      </w:r>
    </w:p>
    <w:p w14:paraId="68852636" w14:textId="77777777" w:rsidR="0060422B" w:rsidRPr="00293DD8" w:rsidRDefault="0060422B" w:rsidP="0060422B">
      <w:pPr>
        <w:numPr>
          <w:ilvl w:val="0"/>
          <w:numId w:val="4"/>
        </w:numPr>
        <w:contextualSpacing/>
      </w:pPr>
      <w:r>
        <w:t xml:space="preserve">Engage with shared decision making </w:t>
      </w:r>
    </w:p>
    <w:p w14:paraId="5717E4C5" w14:textId="77777777" w:rsidR="0060422B" w:rsidRPr="00FA1898" w:rsidRDefault="0060422B" w:rsidP="0060422B">
      <w:pPr>
        <w:ind w:left="720"/>
        <w:contextualSpacing/>
      </w:pPr>
    </w:p>
    <w:p w14:paraId="4AB03CC5" w14:textId="77777777" w:rsidR="0060422B" w:rsidRPr="00FA1898" w:rsidRDefault="0060422B" w:rsidP="0060422B">
      <w:pPr>
        <w:keepNext/>
        <w:keepLines/>
        <w:spacing w:before="40" w:after="0"/>
        <w:outlineLvl w:val="1"/>
        <w:rPr>
          <w:rFonts w:eastAsiaTheme="majorEastAsia" w:cstheme="majorBidi"/>
          <w:b/>
          <w:i/>
          <w:color w:val="44546A" w:themeColor="text2"/>
          <w:szCs w:val="26"/>
        </w:rPr>
      </w:pPr>
      <w:bookmarkStart w:id="11" w:name="_Toc478384811"/>
      <w:bookmarkStart w:id="12" w:name="_Toc505248302"/>
      <w:bookmarkStart w:id="13" w:name="_Toc505248346"/>
      <w:bookmarkStart w:id="14" w:name="_Toc516822663"/>
      <w:r>
        <w:rPr>
          <w:rFonts w:eastAsiaTheme="majorEastAsia" w:cstheme="majorBidi"/>
          <w:b/>
          <w:i/>
          <w:color w:val="44546A" w:themeColor="text2"/>
          <w:szCs w:val="26"/>
        </w:rPr>
        <w:t>Providers</w:t>
      </w:r>
      <w:bookmarkEnd w:id="11"/>
      <w:bookmarkEnd w:id="12"/>
      <w:bookmarkEnd w:id="13"/>
      <w:bookmarkEnd w:id="14"/>
    </w:p>
    <w:p w14:paraId="66183E49" w14:textId="77777777" w:rsidR="0060422B" w:rsidRPr="001F6997" w:rsidRDefault="0060422B" w:rsidP="0060422B">
      <w:pPr>
        <w:numPr>
          <w:ilvl w:val="0"/>
          <w:numId w:val="2"/>
        </w:numPr>
        <w:contextualSpacing/>
        <w:rPr>
          <w:b/>
          <w:color w:val="6600FF"/>
        </w:rPr>
      </w:pPr>
      <w:r>
        <w:t xml:space="preserve">Training </w:t>
      </w:r>
    </w:p>
    <w:p w14:paraId="4B1A65DD" w14:textId="77777777" w:rsidR="0060422B" w:rsidRDefault="0060422B" w:rsidP="0060422B">
      <w:pPr>
        <w:pStyle w:val="Heading2"/>
      </w:pPr>
      <w:bookmarkStart w:id="15" w:name="_Toc516822665"/>
      <w:r>
        <w:t>Care Settings (including Primary Care Practices, Hospitals, Health Systems)</w:t>
      </w:r>
      <w:bookmarkEnd w:id="15"/>
    </w:p>
    <w:p w14:paraId="4EC2A5FA" w14:textId="77777777" w:rsidR="0060422B" w:rsidRDefault="0060422B" w:rsidP="0060422B">
      <w:pPr>
        <w:numPr>
          <w:ilvl w:val="0"/>
          <w:numId w:val="2"/>
        </w:numPr>
        <w:contextualSpacing/>
      </w:pPr>
      <w:r>
        <w:t xml:space="preserve">Leadership and culture </w:t>
      </w:r>
    </w:p>
    <w:p w14:paraId="7BC535B3" w14:textId="57AA071E" w:rsidR="00230B2A" w:rsidRDefault="00230B2A" w:rsidP="0060422B">
      <w:pPr>
        <w:numPr>
          <w:ilvl w:val="1"/>
          <w:numId w:val="2"/>
        </w:numPr>
        <w:contextualSpacing/>
      </w:pPr>
      <w:r>
        <w:t xml:space="preserve">Tie shared decision making to clinic goals. </w:t>
      </w:r>
    </w:p>
    <w:p w14:paraId="1C6647BB" w14:textId="77777777" w:rsidR="0060422B" w:rsidRDefault="0060422B" w:rsidP="0060422B">
      <w:pPr>
        <w:numPr>
          <w:ilvl w:val="1"/>
          <w:numId w:val="2"/>
        </w:numPr>
        <w:contextualSpacing/>
      </w:pPr>
      <w:r>
        <w:t xml:space="preserve">Clinical champions </w:t>
      </w:r>
    </w:p>
    <w:p w14:paraId="1ADA9798" w14:textId="77777777" w:rsidR="0060422B" w:rsidRDefault="0060422B" w:rsidP="0060422B">
      <w:pPr>
        <w:numPr>
          <w:ilvl w:val="0"/>
          <w:numId w:val="2"/>
        </w:numPr>
        <w:contextualSpacing/>
      </w:pPr>
      <w:r>
        <w:t>Patient education and engagement</w:t>
      </w:r>
    </w:p>
    <w:p w14:paraId="4EF660B5" w14:textId="77777777" w:rsidR="0060422B" w:rsidRDefault="0060422B" w:rsidP="0060422B">
      <w:pPr>
        <w:numPr>
          <w:ilvl w:val="0"/>
          <w:numId w:val="2"/>
        </w:numPr>
        <w:contextualSpacing/>
      </w:pPr>
      <w:r>
        <w:t xml:space="preserve">Knowledge and training </w:t>
      </w:r>
    </w:p>
    <w:p w14:paraId="5CE8EC53" w14:textId="77777777" w:rsidR="0060422B" w:rsidRDefault="0060422B" w:rsidP="0060422B">
      <w:pPr>
        <w:numPr>
          <w:ilvl w:val="0"/>
          <w:numId w:val="2"/>
        </w:numPr>
        <w:contextualSpacing/>
      </w:pPr>
      <w:r>
        <w:t>Implementation</w:t>
      </w:r>
      <w:r w:rsidRPr="001F6997">
        <w:t xml:space="preserve"> into system </w:t>
      </w:r>
    </w:p>
    <w:p w14:paraId="6EBF0D8E" w14:textId="77777777" w:rsidR="0060422B" w:rsidRDefault="0060422B" w:rsidP="0060422B">
      <w:pPr>
        <w:numPr>
          <w:ilvl w:val="1"/>
          <w:numId w:val="2"/>
        </w:numPr>
        <w:contextualSpacing/>
      </w:pPr>
      <w:r>
        <w:t xml:space="preserve">Defined roles for care team members </w:t>
      </w:r>
    </w:p>
    <w:p w14:paraId="327805E2" w14:textId="77777777" w:rsidR="0060422B" w:rsidRDefault="0060422B" w:rsidP="0060422B">
      <w:pPr>
        <w:numPr>
          <w:ilvl w:val="0"/>
          <w:numId w:val="2"/>
        </w:numPr>
        <w:contextualSpacing/>
      </w:pPr>
      <w:r>
        <w:t xml:space="preserve">Tracking, monitoring, and reporting </w:t>
      </w:r>
    </w:p>
    <w:p w14:paraId="41868E56" w14:textId="77777777" w:rsidR="0060422B" w:rsidRPr="001F6997" w:rsidRDefault="0060422B" w:rsidP="0060422B">
      <w:pPr>
        <w:numPr>
          <w:ilvl w:val="0"/>
          <w:numId w:val="2"/>
        </w:numPr>
        <w:contextualSpacing/>
      </w:pPr>
      <w:r>
        <w:t xml:space="preserve">Use high-quality decision aids </w:t>
      </w:r>
    </w:p>
    <w:p w14:paraId="620F4DE9" w14:textId="77777777" w:rsidR="0060422B" w:rsidRDefault="0060422B" w:rsidP="0060422B">
      <w:pPr>
        <w:keepNext/>
        <w:keepLines/>
        <w:spacing w:before="40" w:after="0"/>
        <w:outlineLvl w:val="1"/>
        <w:rPr>
          <w:rFonts w:eastAsiaTheme="majorEastAsia" w:cstheme="majorBidi"/>
          <w:b/>
          <w:i/>
          <w:color w:val="44546A" w:themeColor="text2"/>
          <w:szCs w:val="26"/>
        </w:rPr>
      </w:pPr>
      <w:bookmarkStart w:id="16" w:name="_Toc478384812"/>
      <w:bookmarkStart w:id="17" w:name="_Toc505248303"/>
      <w:bookmarkStart w:id="18" w:name="_Toc505248347"/>
      <w:bookmarkStart w:id="19" w:name="_Toc516822666"/>
    </w:p>
    <w:p w14:paraId="002CC73A" w14:textId="77777777" w:rsidR="0060422B" w:rsidRPr="00FA1898" w:rsidRDefault="0060422B" w:rsidP="0060422B">
      <w:pPr>
        <w:keepNext/>
        <w:keepLines/>
        <w:spacing w:before="40" w:after="0"/>
        <w:outlineLvl w:val="1"/>
        <w:rPr>
          <w:rFonts w:eastAsiaTheme="majorEastAsia" w:cstheme="majorBidi"/>
          <w:b/>
          <w:i/>
          <w:color w:val="44546A" w:themeColor="text2"/>
          <w:szCs w:val="26"/>
        </w:rPr>
      </w:pPr>
      <w:r w:rsidRPr="00FA1898">
        <w:rPr>
          <w:rFonts w:eastAsiaTheme="majorEastAsia" w:cstheme="majorBidi"/>
          <w:b/>
          <w:i/>
          <w:color w:val="44546A" w:themeColor="text2"/>
          <w:szCs w:val="26"/>
        </w:rPr>
        <w:t>Health Plans</w:t>
      </w:r>
      <w:bookmarkEnd w:id="16"/>
      <w:bookmarkEnd w:id="17"/>
      <w:bookmarkEnd w:id="18"/>
      <w:bookmarkEnd w:id="19"/>
      <w:r w:rsidRPr="00FA1898">
        <w:rPr>
          <w:rFonts w:eastAsiaTheme="majorEastAsia" w:cstheme="majorBidi"/>
          <w:b/>
          <w:i/>
          <w:color w:val="44546A" w:themeColor="text2"/>
          <w:szCs w:val="26"/>
        </w:rPr>
        <w:t xml:space="preserve"> </w:t>
      </w:r>
    </w:p>
    <w:p w14:paraId="50E3BEE8" w14:textId="77777777" w:rsidR="0060422B" w:rsidRDefault="0060422B" w:rsidP="0060422B">
      <w:pPr>
        <w:pStyle w:val="ListParagraph"/>
        <w:keepNext/>
        <w:keepLines/>
        <w:numPr>
          <w:ilvl w:val="0"/>
          <w:numId w:val="4"/>
        </w:numPr>
        <w:spacing w:before="40" w:after="0"/>
        <w:outlineLvl w:val="1"/>
      </w:pPr>
      <w:bookmarkStart w:id="20" w:name="_Toc478384813"/>
      <w:bookmarkStart w:id="21" w:name="_Toc505248304"/>
      <w:bookmarkStart w:id="22" w:name="_Toc505248348"/>
      <w:bookmarkStart w:id="23" w:name="_Toc516822667"/>
      <w:r>
        <w:t>Reimburse for use of shared decision aids for the 10 topic areas in FFS</w:t>
      </w:r>
    </w:p>
    <w:p w14:paraId="4C1FA505" w14:textId="77777777" w:rsidR="0060422B" w:rsidRPr="001F6997" w:rsidRDefault="0060422B" w:rsidP="0060422B">
      <w:pPr>
        <w:pStyle w:val="ListParagraph"/>
        <w:keepNext/>
        <w:keepLines/>
        <w:numPr>
          <w:ilvl w:val="0"/>
          <w:numId w:val="4"/>
        </w:numPr>
        <w:spacing w:before="40" w:after="0"/>
        <w:outlineLvl w:val="1"/>
      </w:pPr>
      <w:r>
        <w:t>Incorporate shared decision making requirements as standards for value-based models (e.g., Centers of Excellence)</w:t>
      </w:r>
    </w:p>
    <w:p w14:paraId="750A97C4" w14:textId="77777777" w:rsidR="0060422B" w:rsidRDefault="0060422B" w:rsidP="0060422B">
      <w:pPr>
        <w:keepNext/>
        <w:keepLines/>
        <w:spacing w:before="40" w:after="0"/>
        <w:outlineLvl w:val="1"/>
        <w:rPr>
          <w:i/>
        </w:rPr>
      </w:pPr>
    </w:p>
    <w:p w14:paraId="326D2A12" w14:textId="77777777" w:rsidR="0060422B" w:rsidRPr="00FA1898" w:rsidRDefault="0060422B" w:rsidP="0060422B">
      <w:pPr>
        <w:keepNext/>
        <w:keepLines/>
        <w:spacing w:before="40" w:after="0"/>
        <w:outlineLvl w:val="1"/>
        <w:rPr>
          <w:rFonts w:eastAsiaTheme="majorEastAsia" w:cstheme="majorBidi"/>
          <w:b/>
          <w:i/>
          <w:color w:val="44546A" w:themeColor="text2"/>
          <w:szCs w:val="26"/>
        </w:rPr>
      </w:pPr>
      <w:r w:rsidRPr="00FA1898">
        <w:rPr>
          <w:rFonts w:eastAsiaTheme="majorEastAsia" w:cstheme="majorBidi"/>
          <w:b/>
          <w:i/>
          <w:color w:val="44546A" w:themeColor="text2"/>
          <w:szCs w:val="26"/>
        </w:rPr>
        <w:t>Employers</w:t>
      </w:r>
      <w:bookmarkEnd w:id="20"/>
      <w:bookmarkEnd w:id="21"/>
      <w:bookmarkEnd w:id="22"/>
      <w:bookmarkEnd w:id="23"/>
    </w:p>
    <w:p w14:paraId="20F3D5B9" w14:textId="77777777" w:rsidR="0060422B" w:rsidRPr="001F6997" w:rsidRDefault="0060422B" w:rsidP="0060422B">
      <w:pPr>
        <w:pStyle w:val="ListParagraph"/>
        <w:keepNext/>
        <w:keepLines/>
        <w:numPr>
          <w:ilvl w:val="0"/>
          <w:numId w:val="6"/>
        </w:numPr>
        <w:spacing w:before="40" w:after="0"/>
        <w:outlineLvl w:val="1"/>
      </w:pPr>
      <w:r>
        <w:t>Incorporate shared decision making requirements as standards for value-based contracting (e.g., Centers of Excellence)</w:t>
      </w:r>
    </w:p>
    <w:p w14:paraId="455AE43C" w14:textId="77777777" w:rsidR="0060422B" w:rsidRPr="001E1526" w:rsidRDefault="0060422B" w:rsidP="0060422B">
      <w:pPr>
        <w:ind w:left="720"/>
        <w:contextualSpacing/>
        <w:rPr>
          <w:i/>
        </w:rPr>
      </w:pPr>
    </w:p>
    <w:p w14:paraId="4AF2BD52" w14:textId="77777777" w:rsidR="0060422B" w:rsidRDefault="0060422B" w:rsidP="0060422B">
      <w:pPr>
        <w:keepNext/>
        <w:keepLines/>
        <w:spacing w:before="40" w:after="0"/>
        <w:outlineLvl w:val="1"/>
        <w:rPr>
          <w:rFonts w:eastAsiaTheme="majorEastAsia" w:cstheme="majorBidi"/>
          <w:b/>
          <w:i/>
          <w:color w:val="44546A" w:themeColor="text2"/>
          <w:szCs w:val="26"/>
        </w:rPr>
      </w:pPr>
      <w:bookmarkStart w:id="24" w:name="_Toc478384814"/>
      <w:bookmarkStart w:id="25" w:name="_Toc505248305"/>
      <w:bookmarkStart w:id="26" w:name="_Toc505248349"/>
    </w:p>
    <w:p w14:paraId="5D55BF5D" w14:textId="77777777" w:rsidR="0060422B" w:rsidRPr="00FA1898" w:rsidRDefault="0060422B" w:rsidP="0060422B">
      <w:pPr>
        <w:keepNext/>
        <w:keepLines/>
        <w:spacing w:before="40" w:after="0"/>
        <w:outlineLvl w:val="1"/>
        <w:rPr>
          <w:rFonts w:eastAsiaTheme="majorEastAsia" w:cstheme="majorBidi"/>
          <w:b/>
          <w:i/>
          <w:color w:val="44546A" w:themeColor="text2"/>
          <w:szCs w:val="26"/>
        </w:rPr>
      </w:pPr>
      <w:bookmarkStart w:id="27" w:name="_Toc516822668"/>
      <w:r w:rsidRPr="00FA1898">
        <w:rPr>
          <w:rFonts w:eastAsiaTheme="majorEastAsia" w:cstheme="majorBidi"/>
          <w:b/>
          <w:i/>
          <w:color w:val="44546A" w:themeColor="text2"/>
          <w:szCs w:val="26"/>
        </w:rPr>
        <w:t>Washington State Health Care Authority</w:t>
      </w:r>
      <w:bookmarkEnd w:id="24"/>
      <w:bookmarkEnd w:id="25"/>
      <w:bookmarkEnd w:id="26"/>
      <w:bookmarkEnd w:id="27"/>
      <w:r w:rsidRPr="00FA1898">
        <w:rPr>
          <w:rFonts w:eastAsiaTheme="majorEastAsia" w:cstheme="majorBidi"/>
          <w:b/>
          <w:i/>
          <w:color w:val="44546A" w:themeColor="text2"/>
          <w:szCs w:val="26"/>
        </w:rPr>
        <w:t xml:space="preserve"> </w:t>
      </w:r>
    </w:p>
    <w:p w14:paraId="3D9B450D" w14:textId="77777777" w:rsidR="0060422B" w:rsidRPr="006E6D7B" w:rsidRDefault="0060422B" w:rsidP="0060422B">
      <w:pPr>
        <w:numPr>
          <w:ilvl w:val="0"/>
          <w:numId w:val="3"/>
        </w:numPr>
        <w:spacing w:after="120" w:line="288" w:lineRule="auto"/>
        <w:contextualSpacing/>
      </w:pPr>
      <w:r w:rsidRPr="006E6D7B">
        <w:t xml:space="preserve">Certify patient decision aids for the </w:t>
      </w:r>
      <w:r>
        <w:t xml:space="preserve">ten areas. </w:t>
      </w:r>
    </w:p>
    <w:p w14:paraId="08B4DDA4" w14:textId="77777777" w:rsidR="0060422B" w:rsidRDefault="0060422B" w:rsidP="0060422B">
      <w:pPr>
        <w:pStyle w:val="Heading1"/>
        <w:shd w:val="clear" w:color="auto" w:fill="auto"/>
        <w:spacing w:line="24" w:lineRule="atLeast"/>
        <w:sectPr w:rsidR="0060422B" w:rsidSect="008B583B">
          <w:footerReference w:type="default" r:id="rId17"/>
          <w:headerReference w:type="first" r:id="rId18"/>
          <w:footerReference w:type="first" r:id="rId19"/>
          <w:endnotePr>
            <w:numFmt w:val="decimal"/>
          </w:endnotePr>
          <w:type w:val="continuous"/>
          <w:pgSz w:w="12240" w:h="15840"/>
          <w:pgMar w:top="990" w:right="1440" w:bottom="432" w:left="1440" w:header="720" w:footer="720" w:gutter="0"/>
          <w:pgNumType w:start="1"/>
          <w:cols w:space="720"/>
          <w:titlePg/>
          <w:docGrid w:linePitch="360"/>
        </w:sectPr>
      </w:pPr>
    </w:p>
    <w:p w14:paraId="1DA78EDC" w14:textId="77777777" w:rsidR="0060422B" w:rsidRDefault="0060422B" w:rsidP="0060422B">
      <w:pPr>
        <w:rPr>
          <w:rFonts w:eastAsiaTheme="majorEastAsia" w:cstheme="majorBidi"/>
          <w:b/>
          <w:color w:val="FFFFFF" w:themeColor="background1"/>
          <w:sz w:val="24"/>
          <w:szCs w:val="32"/>
        </w:rPr>
      </w:pPr>
      <w:r>
        <w:rPr>
          <w:rFonts w:eastAsiaTheme="majorEastAsia" w:cstheme="majorBidi"/>
          <w:b/>
          <w:color w:val="FFFFFF" w:themeColor="background1"/>
          <w:sz w:val="24"/>
          <w:szCs w:val="32"/>
        </w:rPr>
        <w:br w:type="page"/>
      </w:r>
    </w:p>
    <w:p w14:paraId="2DD45F4F" w14:textId="4CDADE50" w:rsidR="00123DD8" w:rsidRDefault="00123DD8" w:rsidP="00DC19F4">
      <w:pPr>
        <w:sectPr w:rsidR="00123DD8" w:rsidSect="00C80DB4">
          <w:footerReference w:type="default" r:id="rId20"/>
          <w:headerReference w:type="first" r:id="rId21"/>
          <w:footerReference w:type="first" r:id="rId22"/>
          <w:footnotePr>
            <w:numFmt w:val="lowerRoman"/>
          </w:footnotePr>
          <w:endnotePr>
            <w:numFmt w:val="decimal"/>
          </w:endnotePr>
          <w:type w:val="continuous"/>
          <w:pgSz w:w="12240" w:h="15840"/>
          <w:pgMar w:top="990" w:right="1440" w:bottom="900" w:left="1440" w:header="720" w:footer="720" w:gutter="0"/>
          <w:cols w:space="720"/>
          <w:docGrid w:linePitch="360"/>
        </w:sectPr>
      </w:pPr>
    </w:p>
    <w:p w14:paraId="44154710" w14:textId="6F0F66CE" w:rsidR="00123DD8" w:rsidRPr="00467C14" w:rsidRDefault="00123DD8">
      <w:pPr>
        <w:rPr>
          <w:rFonts w:eastAsiaTheme="majorEastAsia" w:cstheme="minorHAnsi"/>
          <w:b/>
        </w:rPr>
      </w:pPr>
      <w:r w:rsidRPr="00467C14">
        <w:rPr>
          <w:rFonts w:eastAsiaTheme="majorEastAsia" w:cstheme="minorHAnsi"/>
          <w:b/>
        </w:rPr>
        <w:t>Table 1</w:t>
      </w:r>
      <w:r w:rsidR="00467C14" w:rsidRPr="00467C14">
        <w:rPr>
          <w:rFonts w:eastAsiaTheme="majorEastAsia" w:cstheme="minorHAnsi"/>
          <w:b/>
        </w:rPr>
        <w:t xml:space="preserve">: Shared Decision Making Categories </w:t>
      </w:r>
    </w:p>
    <w:tbl>
      <w:tblPr>
        <w:tblStyle w:val="MediumLis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122"/>
        <w:gridCol w:w="767"/>
        <w:gridCol w:w="5844"/>
        <w:gridCol w:w="3962"/>
      </w:tblGrid>
      <w:tr w:rsidR="00BE4D61" w:rsidRPr="00123DD8" w14:paraId="57524F05" w14:textId="77777777" w:rsidTr="00797A9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05" w:type="pct"/>
            <w:tcBorders>
              <w:top w:val="single" w:sz="4" w:space="0" w:color="auto"/>
            </w:tcBorders>
            <w:noWrap/>
            <w:hideMark/>
          </w:tcPr>
          <w:p w14:paraId="5539C28D" w14:textId="77777777" w:rsidR="00BE4D61" w:rsidRPr="00123DD8" w:rsidRDefault="00BE4D61" w:rsidP="008868BC">
            <w:pPr>
              <w:rPr>
                <w:rFonts w:eastAsia="Times New Roman" w:cstheme="minorHAnsi"/>
                <w:color w:val="000000"/>
                <w:sz w:val="20"/>
                <w:szCs w:val="20"/>
              </w:rPr>
            </w:pPr>
          </w:p>
        </w:tc>
        <w:tc>
          <w:tcPr>
            <w:tcW w:w="402" w:type="pct"/>
            <w:tcBorders>
              <w:top w:val="single" w:sz="4" w:space="0" w:color="auto"/>
            </w:tcBorders>
            <w:hideMark/>
          </w:tcPr>
          <w:p w14:paraId="23E97690" w14:textId="77777777" w:rsidR="00BE4D61" w:rsidRPr="00123DD8" w:rsidRDefault="00BE4D61" w:rsidP="008868BC">
            <w:pPr>
              <w:cnfStyle w:val="100000000000" w:firstRow="1" w:lastRow="0" w:firstColumn="0" w:lastColumn="0" w:oddVBand="0" w:evenVBand="0" w:oddHBand="0" w:evenHBand="0" w:firstRowFirstColumn="0" w:firstRowLastColumn="0" w:lastRowFirstColumn="0" w:lastRowLastColumn="0"/>
              <w:rPr>
                <w:rFonts w:eastAsia="Times New Roman" w:cstheme="minorHAnsi"/>
                <w:b/>
                <w:bCs/>
                <w:color w:val="000000"/>
                <w:sz w:val="20"/>
                <w:szCs w:val="20"/>
              </w:rPr>
            </w:pPr>
            <w:r w:rsidRPr="00123DD8">
              <w:rPr>
                <w:rFonts w:eastAsia="Times New Roman" w:cstheme="minorHAnsi"/>
                <w:b/>
                <w:bCs/>
                <w:color w:val="000000"/>
                <w:sz w:val="20"/>
                <w:szCs w:val="20"/>
              </w:rPr>
              <w:t>Type</w:t>
            </w:r>
          </w:p>
        </w:tc>
        <w:tc>
          <w:tcPr>
            <w:tcW w:w="275" w:type="pct"/>
            <w:tcBorders>
              <w:top w:val="single" w:sz="4" w:space="0" w:color="auto"/>
            </w:tcBorders>
            <w:hideMark/>
          </w:tcPr>
          <w:p w14:paraId="27FE8C40" w14:textId="77777777" w:rsidR="00BE4D61" w:rsidRPr="00123DD8" w:rsidRDefault="00BE4D61" w:rsidP="008868BC">
            <w:pPr>
              <w:cnfStyle w:val="100000000000" w:firstRow="1" w:lastRow="0" w:firstColumn="0" w:lastColumn="0" w:oddVBand="0" w:evenVBand="0" w:oddHBand="0" w:evenHBand="0" w:firstRowFirstColumn="0" w:firstRowLastColumn="0" w:lastRowFirstColumn="0" w:lastRowLastColumn="0"/>
              <w:rPr>
                <w:rFonts w:eastAsia="Times New Roman" w:cstheme="minorHAnsi"/>
                <w:b/>
                <w:bCs/>
                <w:color w:val="000000"/>
                <w:sz w:val="20"/>
                <w:szCs w:val="20"/>
              </w:rPr>
            </w:pPr>
            <w:r w:rsidRPr="00123DD8">
              <w:rPr>
                <w:rFonts w:eastAsia="Times New Roman" w:cstheme="minorHAnsi"/>
                <w:b/>
                <w:bCs/>
                <w:color w:val="000000"/>
                <w:sz w:val="20"/>
                <w:szCs w:val="20"/>
              </w:rPr>
              <w:t>Stage</w:t>
            </w:r>
          </w:p>
        </w:tc>
        <w:tc>
          <w:tcPr>
            <w:tcW w:w="2096" w:type="pct"/>
            <w:tcBorders>
              <w:top w:val="single" w:sz="4" w:space="0" w:color="auto"/>
            </w:tcBorders>
            <w:hideMark/>
          </w:tcPr>
          <w:p w14:paraId="6B5748F7" w14:textId="77777777" w:rsidR="00BE4D61" w:rsidRPr="00123DD8" w:rsidRDefault="00BE4D61" w:rsidP="008868BC">
            <w:pPr>
              <w:cnfStyle w:val="100000000000" w:firstRow="1" w:lastRow="0" w:firstColumn="0" w:lastColumn="0" w:oddVBand="0" w:evenVBand="0" w:oddHBand="0" w:evenHBand="0" w:firstRowFirstColumn="0" w:firstRowLastColumn="0" w:lastRowFirstColumn="0" w:lastRowLastColumn="0"/>
              <w:rPr>
                <w:rFonts w:eastAsia="Times New Roman" w:cstheme="minorHAnsi"/>
                <w:b/>
                <w:bCs/>
                <w:color w:val="000000"/>
                <w:sz w:val="20"/>
                <w:szCs w:val="20"/>
              </w:rPr>
            </w:pPr>
            <w:r w:rsidRPr="00123DD8">
              <w:rPr>
                <w:rFonts w:eastAsia="Times New Roman" w:cstheme="minorHAnsi"/>
                <w:b/>
                <w:bCs/>
                <w:color w:val="000000"/>
                <w:sz w:val="20"/>
                <w:szCs w:val="20"/>
              </w:rPr>
              <w:t>Literature</w:t>
            </w:r>
          </w:p>
        </w:tc>
        <w:tc>
          <w:tcPr>
            <w:tcW w:w="1421" w:type="pct"/>
            <w:tcBorders>
              <w:top w:val="single" w:sz="4" w:space="0" w:color="auto"/>
            </w:tcBorders>
            <w:hideMark/>
          </w:tcPr>
          <w:p w14:paraId="0E972425" w14:textId="77777777" w:rsidR="00BE4D61" w:rsidRPr="00123DD8" w:rsidRDefault="00BE4D61" w:rsidP="008868BC">
            <w:pPr>
              <w:cnfStyle w:val="100000000000" w:firstRow="1" w:lastRow="0" w:firstColumn="0" w:lastColumn="0" w:oddVBand="0" w:evenVBand="0" w:oddHBand="0" w:evenHBand="0" w:firstRowFirstColumn="0" w:firstRowLastColumn="0" w:lastRowFirstColumn="0" w:lastRowLastColumn="0"/>
              <w:rPr>
                <w:rFonts w:eastAsia="Times New Roman" w:cstheme="minorHAnsi"/>
                <w:b/>
                <w:bCs/>
                <w:color w:val="000000"/>
                <w:sz w:val="20"/>
                <w:szCs w:val="20"/>
              </w:rPr>
            </w:pPr>
            <w:r w:rsidRPr="00123DD8">
              <w:rPr>
                <w:rFonts w:eastAsia="Times New Roman" w:cstheme="minorHAnsi"/>
                <w:b/>
                <w:bCs/>
                <w:color w:val="000000"/>
                <w:sz w:val="20"/>
                <w:szCs w:val="20"/>
              </w:rPr>
              <w:t>HCA Certification</w:t>
            </w:r>
          </w:p>
        </w:tc>
      </w:tr>
      <w:tr w:rsidR="00BE4D61" w:rsidRPr="00123DD8" w14:paraId="613ED74F" w14:textId="77777777" w:rsidTr="00797A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pct"/>
            <w:noWrap/>
            <w:hideMark/>
          </w:tcPr>
          <w:p w14:paraId="0BAE59C5" w14:textId="77777777" w:rsidR="00BE4D61" w:rsidRPr="00123DD8" w:rsidRDefault="00BE4D61" w:rsidP="008868BC">
            <w:pPr>
              <w:rPr>
                <w:rFonts w:eastAsia="Times New Roman" w:cstheme="minorHAnsi"/>
                <w:color w:val="000000"/>
                <w:sz w:val="20"/>
                <w:szCs w:val="20"/>
              </w:rPr>
            </w:pPr>
            <w:r w:rsidRPr="00123DD8">
              <w:rPr>
                <w:rFonts w:eastAsia="Times New Roman" w:cstheme="minorHAnsi"/>
                <w:color w:val="000000"/>
                <w:sz w:val="20"/>
                <w:szCs w:val="20"/>
              </w:rPr>
              <w:t>Knee and Hip Osteoarthritis</w:t>
            </w:r>
          </w:p>
        </w:tc>
        <w:tc>
          <w:tcPr>
            <w:tcW w:w="402" w:type="pct"/>
            <w:noWrap/>
            <w:hideMark/>
          </w:tcPr>
          <w:p w14:paraId="3AB6A412"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Procedural</w:t>
            </w:r>
          </w:p>
        </w:tc>
        <w:tc>
          <w:tcPr>
            <w:tcW w:w="275" w:type="pct"/>
            <w:noWrap/>
            <w:hideMark/>
          </w:tcPr>
          <w:p w14:paraId="249E64AE"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I</w:t>
            </w:r>
          </w:p>
        </w:tc>
        <w:tc>
          <w:tcPr>
            <w:tcW w:w="2096" w:type="pct"/>
            <w:noWrap/>
            <w:hideMark/>
          </w:tcPr>
          <w:p w14:paraId="6B891A76"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Style w:val="Hyperlink"/>
                <w:rFonts w:cstheme="minorHAnsi"/>
                <w:sz w:val="20"/>
                <w:szCs w:val="20"/>
              </w:rPr>
            </w:pPr>
            <w:r w:rsidRPr="00123DD8">
              <w:rPr>
                <w:rStyle w:val="Hyperlink"/>
                <w:rFonts w:cstheme="minorHAnsi"/>
                <w:sz w:val="20"/>
                <w:szCs w:val="20"/>
              </w:rPr>
              <w:fldChar w:fldCharType="begin"/>
            </w:r>
            <w:r w:rsidRPr="00123DD8">
              <w:rPr>
                <w:rStyle w:val="Hyperlink"/>
                <w:rFonts w:cstheme="minorHAnsi"/>
                <w:sz w:val="20"/>
                <w:szCs w:val="20"/>
              </w:rPr>
              <w:instrText xml:space="preserve"> HYPERLINK "https://www.healthaffairs.org/doi/abs/10.1377/hlthaff.2012.1067" </w:instrText>
            </w:r>
            <w:r w:rsidRPr="00123DD8">
              <w:rPr>
                <w:rStyle w:val="Hyperlink"/>
                <w:rFonts w:cstheme="minorHAnsi"/>
                <w:sz w:val="20"/>
                <w:szCs w:val="20"/>
              </w:rPr>
              <w:fldChar w:fldCharType="separate"/>
            </w:r>
            <w:r w:rsidRPr="00123DD8">
              <w:rPr>
                <w:rStyle w:val="Hyperlink"/>
                <w:rFonts w:cstheme="minorHAnsi"/>
                <w:sz w:val="20"/>
                <w:szCs w:val="20"/>
              </w:rPr>
              <w:t>Group Health’s Participation</w:t>
            </w:r>
          </w:p>
          <w:p w14:paraId="05C90400"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Style w:val="Hyperlink"/>
                <w:rFonts w:cstheme="minorHAnsi"/>
                <w:sz w:val="20"/>
                <w:szCs w:val="20"/>
              </w:rPr>
            </w:pPr>
            <w:r w:rsidRPr="00123DD8">
              <w:rPr>
                <w:rStyle w:val="Hyperlink"/>
                <w:rFonts w:cstheme="minorHAnsi"/>
                <w:sz w:val="20"/>
                <w:szCs w:val="20"/>
              </w:rPr>
              <w:t>In A Shared Decision-Making Demonstration Yielded Lessons, Such As Role Of Culture Change</w:t>
            </w:r>
            <w:r w:rsidRPr="00123DD8">
              <w:rPr>
                <w:rStyle w:val="Hyperlink"/>
                <w:rFonts w:cstheme="minorHAnsi"/>
                <w:sz w:val="20"/>
                <w:szCs w:val="20"/>
              </w:rPr>
              <w:fldChar w:fldCharType="end"/>
            </w:r>
            <w:r w:rsidRPr="00123DD8">
              <w:rPr>
                <w:rStyle w:val="Hyperlink"/>
                <w:rFonts w:cstheme="minorHAnsi"/>
                <w:sz w:val="20"/>
                <w:szCs w:val="20"/>
              </w:rPr>
              <w:br/>
            </w:r>
            <w:r w:rsidRPr="00123DD8">
              <w:rPr>
                <w:rFonts w:cstheme="minorHAnsi"/>
                <w:sz w:val="20"/>
                <w:szCs w:val="20"/>
              </w:rPr>
              <w:fldChar w:fldCharType="begin"/>
            </w:r>
            <w:r w:rsidRPr="00123DD8">
              <w:rPr>
                <w:rFonts w:cstheme="minorHAnsi"/>
                <w:sz w:val="20"/>
                <w:szCs w:val="20"/>
              </w:rPr>
              <w:instrText xml:space="preserve"> HYPERLINK "https://bmchealthservres.biomedcentral.com/articles/10.1186/1472-6963-14-366" </w:instrText>
            </w:r>
            <w:r w:rsidRPr="00123DD8">
              <w:rPr>
                <w:rFonts w:cstheme="minorHAnsi"/>
                <w:sz w:val="20"/>
                <w:szCs w:val="20"/>
              </w:rPr>
              <w:fldChar w:fldCharType="separate"/>
            </w:r>
            <w:r w:rsidRPr="00123DD8">
              <w:rPr>
                <w:rStyle w:val="Hyperlink"/>
                <w:rFonts w:cstheme="minorHAnsi"/>
                <w:sz w:val="20"/>
                <w:szCs w:val="20"/>
              </w:rPr>
              <w:t>Patient, surgeon, and healthcare purchaser views on the use of decision and communication aids</w:t>
            </w:r>
          </w:p>
          <w:p w14:paraId="0BAB3378"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Style w:val="Hyperlink"/>
                <w:rFonts w:cstheme="minorHAnsi"/>
                <w:sz w:val="20"/>
                <w:szCs w:val="20"/>
              </w:rPr>
            </w:pPr>
            <w:r w:rsidRPr="00123DD8">
              <w:rPr>
                <w:rStyle w:val="Hyperlink"/>
                <w:rFonts w:cstheme="minorHAnsi"/>
                <w:sz w:val="20"/>
                <w:szCs w:val="20"/>
              </w:rPr>
              <w:t>in orthopaedic surgery: a mixed methods study</w:t>
            </w:r>
            <w:r w:rsidRPr="00123DD8">
              <w:rPr>
                <w:rFonts w:cstheme="minorHAnsi"/>
                <w:sz w:val="20"/>
                <w:szCs w:val="20"/>
              </w:rPr>
              <w:fldChar w:fldCharType="end"/>
            </w:r>
            <w:r w:rsidRPr="00123DD8">
              <w:rPr>
                <w:rFonts w:cstheme="minorHAnsi"/>
                <w:sz w:val="20"/>
                <w:szCs w:val="20"/>
              </w:rPr>
              <w:br/>
            </w:r>
            <w:r w:rsidRPr="00123DD8">
              <w:rPr>
                <w:rFonts w:cstheme="minorHAnsi"/>
                <w:sz w:val="20"/>
                <w:szCs w:val="20"/>
              </w:rPr>
              <w:fldChar w:fldCharType="begin"/>
            </w:r>
            <w:r w:rsidRPr="00123DD8">
              <w:rPr>
                <w:rFonts w:cstheme="minorHAnsi"/>
                <w:sz w:val="20"/>
                <w:szCs w:val="20"/>
              </w:rPr>
              <w:instrText xml:space="preserve"> HYPERLINK "https://www.healthaffairs.org/doi/abs/10.1377/hlthaff.2011.0686" </w:instrText>
            </w:r>
            <w:r w:rsidRPr="00123DD8">
              <w:rPr>
                <w:rFonts w:cstheme="minorHAnsi"/>
                <w:sz w:val="20"/>
                <w:szCs w:val="20"/>
              </w:rPr>
              <w:fldChar w:fldCharType="separate"/>
            </w:r>
            <w:r w:rsidRPr="00123DD8">
              <w:rPr>
                <w:rStyle w:val="Hyperlink"/>
                <w:rFonts w:cstheme="minorHAnsi"/>
                <w:sz w:val="20"/>
                <w:szCs w:val="20"/>
              </w:rPr>
              <w:t>Introducing Decision Aids</w:t>
            </w:r>
          </w:p>
          <w:p w14:paraId="41E2304D"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23DD8">
              <w:rPr>
                <w:rStyle w:val="Hyperlink"/>
                <w:rFonts w:cstheme="minorHAnsi"/>
                <w:sz w:val="20"/>
                <w:szCs w:val="20"/>
              </w:rPr>
              <w:t>At Group Health Was Linked to Sharply Lower Hip And Knee Surgery Rates And Costs</w:t>
            </w:r>
            <w:r w:rsidRPr="00123DD8">
              <w:rPr>
                <w:rFonts w:cstheme="minorHAnsi"/>
                <w:sz w:val="20"/>
                <w:szCs w:val="20"/>
              </w:rPr>
              <w:fldChar w:fldCharType="end"/>
            </w:r>
            <w:r w:rsidRPr="00123DD8">
              <w:rPr>
                <w:rFonts w:cstheme="minorHAnsi"/>
                <w:sz w:val="20"/>
                <w:szCs w:val="20"/>
              </w:rPr>
              <w:t xml:space="preserve"> </w:t>
            </w:r>
          </w:p>
          <w:p w14:paraId="1D63CC2C" w14:textId="77777777" w:rsidR="00BE4D61" w:rsidRPr="00123DD8" w:rsidRDefault="005C0E14" w:rsidP="008868BC">
            <w:pPr>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23" w:history="1">
              <w:r w:rsidR="00BE4D61" w:rsidRPr="00123DD8">
                <w:rPr>
                  <w:rStyle w:val="Hyperlink"/>
                  <w:rFonts w:cstheme="minorHAnsi"/>
                  <w:sz w:val="20"/>
                  <w:szCs w:val="20"/>
                </w:rPr>
                <w:t>Effect of a Decision Aid on Access to Total Knee Replacement for Black Patients With Osteoarthritis of the Knee: A Randomized Clinical Trial</w:t>
              </w:r>
            </w:hyperlink>
          </w:p>
        </w:tc>
        <w:tc>
          <w:tcPr>
            <w:tcW w:w="1421" w:type="pct"/>
            <w:noWrap/>
            <w:hideMark/>
          </w:tcPr>
          <w:p w14:paraId="189C716E"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123DD8">
              <w:rPr>
                <w:rFonts w:eastAsia="Times New Roman" w:cstheme="minorHAnsi"/>
                <w:sz w:val="20"/>
                <w:szCs w:val="20"/>
              </w:rPr>
              <w:t>Treatment choices for hip osteoarthritis (Health Dialog Services Corporation)</w:t>
            </w:r>
          </w:p>
          <w:p w14:paraId="44B83A57"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123DD8">
              <w:rPr>
                <w:rFonts w:eastAsia="Times New Roman" w:cstheme="minorHAnsi"/>
                <w:sz w:val="20"/>
                <w:szCs w:val="20"/>
              </w:rPr>
              <w:t>Treatment choices for knee osteoarthritis (Health Dialogue Services Corporation)</w:t>
            </w:r>
          </w:p>
          <w:p w14:paraId="6AA2E9FA"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123DD8">
              <w:rPr>
                <w:rFonts w:eastAsia="Times New Roman" w:cstheme="minorHAnsi"/>
                <w:sz w:val="20"/>
                <w:szCs w:val="20"/>
              </w:rPr>
              <w:t>Hip osteoarthritis: is it time to think about surgery? (Healthwise)</w:t>
            </w:r>
          </w:p>
          <w:p w14:paraId="06F71BE0"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123DD8">
              <w:rPr>
                <w:rFonts w:eastAsia="Times New Roman" w:cstheme="minorHAnsi"/>
                <w:sz w:val="20"/>
                <w:szCs w:val="20"/>
              </w:rPr>
              <w:t>Knee osteoarthritis: is it time to think about surgery? (Healthwise)</w:t>
            </w:r>
          </w:p>
          <w:p w14:paraId="50F5241C"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123DD8">
              <w:rPr>
                <w:rFonts w:eastAsia="Times New Roman" w:cstheme="minorHAnsi"/>
                <w:sz w:val="20"/>
                <w:szCs w:val="20"/>
              </w:rPr>
              <w:t>Is knee replacement surgery right for me? (Avaz Decisions)</w:t>
            </w:r>
          </w:p>
          <w:p w14:paraId="677727CD"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sz w:val="20"/>
                <w:szCs w:val="20"/>
              </w:rPr>
              <w:t>Is hip replacement surgery right for me? (Avaz Decisions)</w:t>
            </w:r>
          </w:p>
        </w:tc>
      </w:tr>
      <w:tr w:rsidR="00BE4D61" w:rsidRPr="00123DD8" w14:paraId="6A334194" w14:textId="77777777" w:rsidTr="00797A91">
        <w:trPr>
          <w:trHeight w:val="300"/>
        </w:trPr>
        <w:tc>
          <w:tcPr>
            <w:cnfStyle w:val="001000000000" w:firstRow="0" w:lastRow="0" w:firstColumn="1" w:lastColumn="0" w:oddVBand="0" w:evenVBand="0" w:oddHBand="0" w:evenHBand="0" w:firstRowFirstColumn="0" w:firstRowLastColumn="0" w:lastRowFirstColumn="0" w:lastRowLastColumn="0"/>
            <w:tcW w:w="805" w:type="pct"/>
            <w:noWrap/>
            <w:hideMark/>
          </w:tcPr>
          <w:p w14:paraId="42D6EADC" w14:textId="77777777" w:rsidR="00BE4D61" w:rsidRPr="00123DD8" w:rsidRDefault="00BE4D61" w:rsidP="008868BC">
            <w:pPr>
              <w:rPr>
                <w:rFonts w:eastAsia="Times New Roman" w:cstheme="minorHAnsi"/>
                <w:color w:val="000000"/>
                <w:sz w:val="20"/>
                <w:szCs w:val="20"/>
              </w:rPr>
            </w:pPr>
            <w:r w:rsidRPr="00123DD8">
              <w:rPr>
                <w:rFonts w:eastAsia="Times New Roman" w:cstheme="minorHAnsi"/>
                <w:color w:val="000000"/>
                <w:sz w:val="20"/>
                <w:szCs w:val="20"/>
              </w:rPr>
              <w:t>Abnormal Uterine Bleeding</w:t>
            </w:r>
          </w:p>
        </w:tc>
        <w:tc>
          <w:tcPr>
            <w:tcW w:w="402" w:type="pct"/>
            <w:noWrap/>
            <w:hideMark/>
          </w:tcPr>
          <w:p w14:paraId="49FCC8BF"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Procedural</w:t>
            </w:r>
          </w:p>
        </w:tc>
        <w:tc>
          <w:tcPr>
            <w:tcW w:w="275" w:type="pct"/>
            <w:noWrap/>
            <w:hideMark/>
          </w:tcPr>
          <w:p w14:paraId="10BBFA0E"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III</w:t>
            </w:r>
          </w:p>
        </w:tc>
        <w:tc>
          <w:tcPr>
            <w:tcW w:w="2096" w:type="pct"/>
            <w:noWrap/>
            <w:hideMark/>
          </w:tcPr>
          <w:p w14:paraId="1674A89B"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
        </w:tc>
        <w:tc>
          <w:tcPr>
            <w:tcW w:w="1421" w:type="pct"/>
            <w:noWrap/>
            <w:hideMark/>
          </w:tcPr>
          <w:p w14:paraId="147511A9"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No</w:t>
            </w:r>
          </w:p>
        </w:tc>
      </w:tr>
      <w:tr w:rsidR="00BE4D61" w:rsidRPr="00123DD8" w14:paraId="63CAEFDB" w14:textId="77777777" w:rsidTr="00797A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pct"/>
            <w:noWrap/>
            <w:hideMark/>
          </w:tcPr>
          <w:p w14:paraId="4B67CC04" w14:textId="77777777" w:rsidR="00BE4D61" w:rsidRPr="00123DD8" w:rsidRDefault="00BE4D61" w:rsidP="008868BC">
            <w:pPr>
              <w:rPr>
                <w:rFonts w:eastAsia="Times New Roman" w:cstheme="minorHAnsi"/>
                <w:color w:val="000000"/>
                <w:sz w:val="20"/>
                <w:szCs w:val="20"/>
              </w:rPr>
            </w:pPr>
            <w:r w:rsidRPr="00123DD8">
              <w:rPr>
                <w:rFonts w:eastAsia="Times New Roman" w:cstheme="minorHAnsi"/>
                <w:color w:val="000000"/>
                <w:sz w:val="20"/>
                <w:szCs w:val="20"/>
              </w:rPr>
              <w:t>Advanced Care Planning</w:t>
            </w:r>
          </w:p>
        </w:tc>
        <w:tc>
          <w:tcPr>
            <w:tcW w:w="402" w:type="pct"/>
            <w:noWrap/>
            <w:hideMark/>
          </w:tcPr>
          <w:p w14:paraId="680A9BF4"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Other</w:t>
            </w:r>
          </w:p>
        </w:tc>
        <w:tc>
          <w:tcPr>
            <w:tcW w:w="275" w:type="pct"/>
            <w:noWrap/>
            <w:hideMark/>
          </w:tcPr>
          <w:p w14:paraId="1874F01C"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I</w:t>
            </w:r>
          </w:p>
        </w:tc>
        <w:tc>
          <w:tcPr>
            <w:tcW w:w="2096" w:type="pct"/>
            <w:noWrap/>
            <w:hideMark/>
          </w:tcPr>
          <w:p w14:paraId="592C31AB"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
        </w:tc>
        <w:tc>
          <w:tcPr>
            <w:tcW w:w="1421" w:type="pct"/>
            <w:noWrap/>
            <w:hideMark/>
          </w:tcPr>
          <w:p w14:paraId="0F7A629D"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CPR: advanced cancer (ACP Decisions)</w:t>
            </w:r>
          </w:p>
          <w:p w14:paraId="6525CD51"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CPR: advanced disease (ACP Decisions)</w:t>
            </w:r>
          </w:p>
          <w:p w14:paraId="764283AD"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CPR: advanced heart failure (ACP Decisions)</w:t>
            </w:r>
          </w:p>
          <w:p w14:paraId="70C26939"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CPR: advanced liver disease (ACP Decisions)</w:t>
            </w:r>
          </w:p>
          <w:p w14:paraId="6D4BA6C4"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CPR: advanced lung disease (ACP Decisions)</w:t>
            </w:r>
          </w:p>
          <w:p w14:paraId="0A499F2C"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CPR: a closer look for people with a serious illness (ACP Decisions)</w:t>
            </w:r>
          </w:p>
          <w:p w14:paraId="456C191A"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Decisions about dialysis for patients 75 and older (ACP Decisions)</w:t>
            </w:r>
          </w:p>
          <w:p w14:paraId="5F0BC42C"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Goals of care: advanced cancer (ACP Decisions)</w:t>
            </w:r>
          </w:p>
          <w:p w14:paraId="6171C1FF"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Goals of care: advanced dementia (ACP Decisions)</w:t>
            </w:r>
          </w:p>
          <w:p w14:paraId="642C30B2"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Goals of care: advanced disease (ACP Decisions)</w:t>
            </w:r>
          </w:p>
          <w:p w14:paraId="0E550D6F"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Goals of care: advanced heart failure (ACP Decisions)</w:t>
            </w:r>
          </w:p>
          <w:p w14:paraId="6FF11CF5"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Goals of care: advanced lung disease (ACP Decisions)</w:t>
            </w:r>
          </w:p>
          <w:p w14:paraId="0FF0E7B5"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Goals of care: family meetings in the ICU (ACP Decisions)</w:t>
            </w:r>
          </w:p>
          <w:p w14:paraId="27F5B23E"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Goals of care: skilled nursing facility (ACP Decisions)</w:t>
            </w:r>
          </w:p>
          <w:p w14:paraId="17C3C3CD"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Hospice: advanced cancer (ACP Decisions)</w:t>
            </w:r>
          </w:p>
          <w:p w14:paraId="4C3B49B1"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Hospice: skilled nursing facility (ACP Decisions)</w:t>
            </w:r>
          </w:p>
          <w:p w14:paraId="1986EA50"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Hospice: an introduction (ACP Decisions)</w:t>
            </w:r>
          </w:p>
          <w:p w14:paraId="67D7BED3"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Supporting decisions involving extremely premature infants (ACP Decisions)</w:t>
            </w:r>
          </w:p>
          <w:p w14:paraId="5AC09498"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Dementia for caregivers: goals of care: across the spectrum for Alzheimer's disease (ACP Decisions)</w:t>
            </w:r>
            <w:r w:rsidRPr="00BE4D61">
              <w:rPr>
                <w:rFonts w:cstheme="minorHAnsi"/>
                <w:sz w:val="18"/>
                <w:szCs w:val="18"/>
              </w:rPr>
              <w:br/>
              <w:t>CPR decision aid (Respecting Choices)</w:t>
            </w:r>
          </w:p>
          <w:p w14:paraId="2911734C"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Help with breathing decision aid (Respecting Choices)</w:t>
            </w:r>
          </w:p>
          <w:p w14:paraId="1D80E98D"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Long-term tube feeding decision aid (Respecting Choices)</w:t>
            </w:r>
          </w:p>
          <w:p w14:paraId="758C8FE0" w14:textId="77777777"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E4D61">
              <w:rPr>
                <w:rFonts w:cstheme="minorHAnsi"/>
                <w:sz w:val="18"/>
                <w:szCs w:val="18"/>
              </w:rPr>
              <w:t>Medical care for serious illness (Health Dialog Services Corporation)</w:t>
            </w:r>
          </w:p>
          <w:p w14:paraId="23F0B134" w14:textId="15AAA0B5" w:rsidR="00BE4D61" w:rsidRPr="00BE4D61" w:rsidRDefault="00BE4D61" w:rsidP="008868B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E4D61">
              <w:rPr>
                <w:rFonts w:cstheme="minorHAnsi"/>
                <w:sz w:val="18"/>
                <w:szCs w:val="18"/>
              </w:rPr>
              <w:t>Advanced lung cancer patient decision aid (Seattle Cancer Care Alliance)</w:t>
            </w:r>
          </w:p>
        </w:tc>
      </w:tr>
      <w:tr w:rsidR="00BE4D61" w:rsidRPr="00123DD8" w14:paraId="31E1D012" w14:textId="77777777" w:rsidTr="00797A91">
        <w:trPr>
          <w:trHeight w:val="300"/>
        </w:trPr>
        <w:tc>
          <w:tcPr>
            <w:cnfStyle w:val="001000000000" w:firstRow="0" w:lastRow="0" w:firstColumn="1" w:lastColumn="0" w:oddVBand="0" w:evenVBand="0" w:oddHBand="0" w:evenHBand="0" w:firstRowFirstColumn="0" w:firstRowLastColumn="0" w:lastRowFirstColumn="0" w:lastRowLastColumn="0"/>
            <w:tcW w:w="805" w:type="pct"/>
            <w:noWrap/>
            <w:hideMark/>
          </w:tcPr>
          <w:p w14:paraId="7B6087D6" w14:textId="77777777" w:rsidR="00BE4D61" w:rsidRPr="00123DD8" w:rsidRDefault="00BE4D61" w:rsidP="008868BC">
            <w:pPr>
              <w:rPr>
                <w:rFonts w:eastAsia="Times New Roman" w:cstheme="minorHAnsi"/>
                <w:color w:val="000000"/>
                <w:sz w:val="20"/>
                <w:szCs w:val="20"/>
              </w:rPr>
            </w:pPr>
            <w:r w:rsidRPr="00123DD8">
              <w:rPr>
                <w:rFonts w:eastAsia="Times New Roman" w:cstheme="minorHAnsi"/>
                <w:color w:val="000000"/>
                <w:sz w:val="20"/>
                <w:szCs w:val="20"/>
              </w:rPr>
              <w:t>Prostate Specific Antigen Testing</w:t>
            </w:r>
          </w:p>
        </w:tc>
        <w:tc>
          <w:tcPr>
            <w:tcW w:w="402" w:type="pct"/>
            <w:noWrap/>
            <w:hideMark/>
          </w:tcPr>
          <w:p w14:paraId="4148106F"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Screening</w:t>
            </w:r>
          </w:p>
        </w:tc>
        <w:tc>
          <w:tcPr>
            <w:tcW w:w="275" w:type="pct"/>
            <w:noWrap/>
            <w:hideMark/>
          </w:tcPr>
          <w:p w14:paraId="2626D3AC"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III</w:t>
            </w:r>
          </w:p>
        </w:tc>
        <w:tc>
          <w:tcPr>
            <w:tcW w:w="2096" w:type="pct"/>
            <w:noWrap/>
            <w:hideMark/>
          </w:tcPr>
          <w:p w14:paraId="3A932216" w14:textId="77777777" w:rsidR="00BE4D61" w:rsidRPr="00123DD8" w:rsidRDefault="005C0E14" w:rsidP="008868BC">
            <w:pPr>
              <w:cnfStyle w:val="000000000000" w:firstRow="0" w:lastRow="0" w:firstColumn="0" w:lastColumn="0" w:oddVBand="0" w:evenVBand="0" w:oddHBand="0" w:evenHBand="0" w:firstRowFirstColumn="0" w:firstRowLastColumn="0" w:lastRowFirstColumn="0" w:lastRowLastColumn="0"/>
              <w:rPr>
                <w:rStyle w:val="Hyperlink"/>
                <w:rFonts w:cstheme="minorHAnsi"/>
                <w:sz w:val="20"/>
                <w:szCs w:val="20"/>
              </w:rPr>
            </w:pPr>
            <w:hyperlink r:id="rId24" w:history="1">
              <w:r w:rsidR="00BE4D61" w:rsidRPr="00123DD8">
                <w:rPr>
                  <w:rStyle w:val="Hyperlink"/>
                  <w:rFonts w:cstheme="minorHAnsi"/>
                  <w:sz w:val="20"/>
                  <w:szCs w:val="20"/>
                </w:rPr>
                <w:t>Physicians’ Attitudes About Shared Decision Making for Prostate Cancer Screening</w:t>
              </w:r>
            </w:hyperlink>
          </w:p>
          <w:p w14:paraId="398F6D1A" w14:textId="77777777" w:rsidR="00BE4D61" w:rsidRPr="00123DD8" w:rsidRDefault="005C0E14" w:rsidP="008868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5" w:history="1">
              <w:r w:rsidR="00BE4D61" w:rsidRPr="00123DD8">
                <w:rPr>
                  <w:rStyle w:val="Hyperlink"/>
                  <w:rFonts w:cstheme="minorHAnsi"/>
                  <w:sz w:val="20"/>
                  <w:szCs w:val="20"/>
                </w:rPr>
                <w:t>The effects of shared decision-making compared to usual care for prostate cancer screening decisions: a systematic review and meta-analysis</w:t>
              </w:r>
            </w:hyperlink>
          </w:p>
          <w:p w14:paraId="4E594062"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21" w:type="pct"/>
            <w:noWrap/>
            <w:hideMark/>
          </w:tcPr>
          <w:p w14:paraId="5107C372"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No</w:t>
            </w:r>
          </w:p>
        </w:tc>
      </w:tr>
      <w:tr w:rsidR="00BE4D61" w:rsidRPr="00123DD8" w14:paraId="41E6967A" w14:textId="77777777" w:rsidTr="00797A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pct"/>
            <w:noWrap/>
            <w:hideMark/>
          </w:tcPr>
          <w:p w14:paraId="3EF80C58" w14:textId="77777777" w:rsidR="00BE4D61" w:rsidRPr="00123DD8" w:rsidRDefault="00BE4D61" w:rsidP="008868BC">
            <w:pPr>
              <w:rPr>
                <w:rFonts w:eastAsia="Times New Roman" w:cstheme="minorHAnsi"/>
                <w:color w:val="000000"/>
                <w:sz w:val="20"/>
                <w:szCs w:val="20"/>
              </w:rPr>
            </w:pPr>
            <w:r w:rsidRPr="00123DD8">
              <w:rPr>
                <w:rFonts w:eastAsia="Times New Roman" w:cstheme="minorHAnsi"/>
                <w:color w:val="000000"/>
                <w:sz w:val="20"/>
                <w:szCs w:val="20"/>
              </w:rPr>
              <w:t>Depression Treatment</w:t>
            </w:r>
          </w:p>
        </w:tc>
        <w:tc>
          <w:tcPr>
            <w:tcW w:w="402" w:type="pct"/>
            <w:noWrap/>
            <w:hideMark/>
          </w:tcPr>
          <w:p w14:paraId="4CFE6296"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Behavioral Health</w:t>
            </w:r>
          </w:p>
        </w:tc>
        <w:tc>
          <w:tcPr>
            <w:tcW w:w="275" w:type="pct"/>
            <w:noWrap/>
            <w:hideMark/>
          </w:tcPr>
          <w:p w14:paraId="1F175CB2"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III</w:t>
            </w:r>
          </w:p>
        </w:tc>
        <w:tc>
          <w:tcPr>
            <w:tcW w:w="2096" w:type="pct"/>
            <w:noWrap/>
            <w:hideMark/>
          </w:tcPr>
          <w:p w14:paraId="5E4BDA4D"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
        </w:tc>
        <w:tc>
          <w:tcPr>
            <w:tcW w:w="1421" w:type="pct"/>
            <w:noWrap/>
            <w:hideMark/>
          </w:tcPr>
          <w:p w14:paraId="1F029A4F"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No</w:t>
            </w:r>
          </w:p>
        </w:tc>
      </w:tr>
      <w:tr w:rsidR="00BE4D61" w:rsidRPr="00123DD8" w14:paraId="6569BF21" w14:textId="77777777" w:rsidTr="00797A91">
        <w:trPr>
          <w:trHeight w:val="300"/>
        </w:trPr>
        <w:tc>
          <w:tcPr>
            <w:cnfStyle w:val="001000000000" w:firstRow="0" w:lastRow="0" w:firstColumn="1" w:lastColumn="0" w:oddVBand="0" w:evenVBand="0" w:oddHBand="0" w:evenHBand="0" w:firstRowFirstColumn="0" w:firstRowLastColumn="0" w:lastRowFirstColumn="0" w:lastRowLastColumn="0"/>
            <w:tcW w:w="805" w:type="pct"/>
            <w:noWrap/>
            <w:hideMark/>
          </w:tcPr>
          <w:p w14:paraId="46278EA0" w14:textId="77777777" w:rsidR="00BE4D61" w:rsidRPr="00123DD8" w:rsidRDefault="00BE4D61" w:rsidP="008868BC">
            <w:pPr>
              <w:rPr>
                <w:rFonts w:eastAsia="Times New Roman" w:cstheme="minorHAnsi"/>
                <w:color w:val="000000"/>
                <w:sz w:val="20"/>
                <w:szCs w:val="20"/>
              </w:rPr>
            </w:pPr>
            <w:r w:rsidRPr="00123DD8">
              <w:rPr>
                <w:rFonts w:eastAsia="Times New Roman" w:cstheme="minorHAnsi"/>
                <w:color w:val="000000"/>
                <w:sz w:val="20"/>
                <w:szCs w:val="20"/>
              </w:rPr>
              <w:t xml:space="preserve">Attention Deficit Hyperactivity Disorder Treatment </w:t>
            </w:r>
          </w:p>
          <w:p w14:paraId="769774D3" w14:textId="77777777" w:rsidR="00BE4D61" w:rsidRPr="00123DD8" w:rsidRDefault="00BE4D61" w:rsidP="008868BC">
            <w:pPr>
              <w:rPr>
                <w:rFonts w:eastAsia="Times New Roman" w:cstheme="minorHAnsi"/>
                <w:color w:val="000000"/>
                <w:sz w:val="20"/>
                <w:szCs w:val="20"/>
              </w:rPr>
            </w:pPr>
          </w:p>
        </w:tc>
        <w:tc>
          <w:tcPr>
            <w:tcW w:w="402" w:type="pct"/>
            <w:noWrap/>
            <w:hideMark/>
          </w:tcPr>
          <w:p w14:paraId="2B69C7A7" w14:textId="77777777" w:rsidR="00BE4D61" w:rsidRPr="00123DD8" w:rsidRDefault="00BE4D61" w:rsidP="008868B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23DD8">
              <w:rPr>
                <w:rFonts w:eastAsia="Times New Roman" w:cstheme="minorHAnsi"/>
                <w:sz w:val="20"/>
                <w:szCs w:val="20"/>
              </w:rPr>
              <w:t>Behavioral Health</w:t>
            </w:r>
          </w:p>
        </w:tc>
        <w:tc>
          <w:tcPr>
            <w:tcW w:w="275" w:type="pct"/>
            <w:noWrap/>
            <w:hideMark/>
          </w:tcPr>
          <w:p w14:paraId="3ABC92B2"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III</w:t>
            </w:r>
          </w:p>
        </w:tc>
        <w:tc>
          <w:tcPr>
            <w:tcW w:w="2096" w:type="pct"/>
            <w:noWrap/>
            <w:hideMark/>
          </w:tcPr>
          <w:p w14:paraId="6F5498BE"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
        </w:tc>
        <w:tc>
          <w:tcPr>
            <w:tcW w:w="1421" w:type="pct"/>
            <w:noWrap/>
            <w:hideMark/>
          </w:tcPr>
          <w:p w14:paraId="1B74A850"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No</w:t>
            </w:r>
          </w:p>
        </w:tc>
      </w:tr>
      <w:tr w:rsidR="00BE4D61" w:rsidRPr="00123DD8" w14:paraId="46ED3E4D" w14:textId="77777777" w:rsidTr="00797A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pct"/>
            <w:noWrap/>
            <w:hideMark/>
          </w:tcPr>
          <w:p w14:paraId="24D64C6D" w14:textId="77777777" w:rsidR="00BE4D61" w:rsidRPr="00123DD8" w:rsidRDefault="00BE4D61" w:rsidP="008868BC">
            <w:pPr>
              <w:rPr>
                <w:rFonts w:eastAsia="Times New Roman" w:cstheme="minorHAnsi"/>
                <w:color w:val="000000"/>
                <w:sz w:val="20"/>
                <w:szCs w:val="20"/>
              </w:rPr>
            </w:pPr>
            <w:r w:rsidRPr="00123DD8">
              <w:rPr>
                <w:rFonts w:eastAsia="Times New Roman" w:cstheme="minorHAnsi"/>
                <w:color w:val="000000"/>
                <w:sz w:val="20"/>
                <w:szCs w:val="20"/>
              </w:rPr>
              <w:t>Breast Cancer Screening</w:t>
            </w:r>
          </w:p>
        </w:tc>
        <w:tc>
          <w:tcPr>
            <w:tcW w:w="402" w:type="pct"/>
            <w:noWrap/>
            <w:hideMark/>
          </w:tcPr>
          <w:p w14:paraId="4C3EB99A"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Screening</w:t>
            </w:r>
          </w:p>
        </w:tc>
        <w:tc>
          <w:tcPr>
            <w:tcW w:w="275" w:type="pct"/>
            <w:noWrap/>
            <w:hideMark/>
          </w:tcPr>
          <w:p w14:paraId="25FA6F22"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III</w:t>
            </w:r>
          </w:p>
        </w:tc>
        <w:tc>
          <w:tcPr>
            <w:tcW w:w="2096" w:type="pct"/>
            <w:noWrap/>
            <w:hideMark/>
          </w:tcPr>
          <w:p w14:paraId="13862BDE"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
        </w:tc>
        <w:tc>
          <w:tcPr>
            <w:tcW w:w="1421" w:type="pct"/>
            <w:noWrap/>
            <w:hideMark/>
          </w:tcPr>
          <w:p w14:paraId="1D4DA630"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No</w:t>
            </w:r>
          </w:p>
        </w:tc>
      </w:tr>
      <w:tr w:rsidR="00BE4D61" w:rsidRPr="00123DD8" w14:paraId="4CB0A6CE" w14:textId="77777777" w:rsidTr="00797A91">
        <w:trPr>
          <w:trHeight w:val="300"/>
        </w:trPr>
        <w:tc>
          <w:tcPr>
            <w:cnfStyle w:val="001000000000" w:firstRow="0" w:lastRow="0" w:firstColumn="1" w:lastColumn="0" w:oddVBand="0" w:evenVBand="0" w:oddHBand="0" w:evenHBand="0" w:firstRowFirstColumn="0" w:firstRowLastColumn="0" w:lastRowFirstColumn="0" w:lastRowLastColumn="0"/>
            <w:tcW w:w="805" w:type="pct"/>
            <w:noWrap/>
            <w:hideMark/>
          </w:tcPr>
          <w:p w14:paraId="167BF906" w14:textId="77777777" w:rsidR="00BE4D61" w:rsidRPr="00123DD8" w:rsidRDefault="00BE4D61" w:rsidP="008868BC">
            <w:pPr>
              <w:rPr>
                <w:rFonts w:eastAsia="Times New Roman" w:cstheme="minorHAnsi"/>
                <w:color w:val="000000"/>
                <w:sz w:val="20"/>
                <w:szCs w:val="20"/>
              </w:rPr>
            </w:pPr>
            <w:r w:rsidRPr="00123DD8">
              <w:rPr>
                <w:rFonts w:eastAsia="Times New Roman" w:cstheme="minorHAnsi"/>
                <w:color w:val="000000"/>
                <w:sz w:val="20"/>
                <w:szCs w:val="20"/>
              </w:rPr>
              <w:t xml:space="preserve">Opioid Use Disorder Treatment </w:t>
            </w:r>
          </w:p>
        </w:tc>
        <w:tc>
          <w:tcPr>
            <w:tcW w:w="402" w:type="pct"/>
            <w:noWrap/>
            <w:hideMark/>
          </w:tcPr>
          <w:p w14:paraId="2D0D27FC"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 xml:space="preserve">Behavioral Health </w:t>
            </w:r>
          </w:p>
        </w:tc>
        <w:tc>
          <w:tcPr>
            <w:tcW w:w="275" w:type="pct"/>
            <w:noWrap/>
            <w:hideMark/>
          </w:tcPr>
          <w:p w14:paraId="2936E5D3"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IV</w:t>
            </w:r>
          </w:p>
        </w:tc>
        <w:tc>
          <w:tcPr>
            <w:tcW w:w="2096" w:type="pct"/>
            <w:noWrap/>
            <w:hideMark/>
          </w:tcPr>
          <w:p w14:paraId="3A1BA97E" w14:textId="77777777" w:rsidR="00BE4D61" w:rsidRPr="00123DD8" w:rsidRDefault="005C0E14"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hyperlink r:id="rId26" w:history="1">
              <w:r w:rsidR="00BE4D61" w:rsidRPr="00123DD8">
                <w:rPr>
                  <w:rStyle w:val="Hyperlink"/>
                  <w:rFonts w:eastAsia="Times New Roman" w:cstheme="minorHAnsi"/>
                  <w:sz w:val="20"/>
                  <w:szCs w:val="20"/>
                </w:rPr>
                <w:t>https://clinicaltrials.gov/ct2/show/NCT03568552</w:t>
              </w:r>
            </w:hyperlink>
            <w:r w:rsidR="00BE4D61" w:rsidRPr="00123DD8">
              <w:rPr>
                <w:rFonts w:eastAsia="Times New Roman" w:cstheme="minorHAnsi"/>
                <w:color w:val="000000"/>
                <w:sz w:val="20"/>
                <w:szCs w:val="20"/>
              </w:rPr>
              <w:t xml:space="preserve"> </w:t>
            </w:r>
          </w:p>
        </w:tc>
        <w:tc>
          <w:tcPr>
            <w:tcW w:w="1421" w:type="pct"/>
            <w:noWrap/>
            <w:hideMark/>
          </w:tcPr>
          <w:p w14:paraId="52421872"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No</w:t>
            </w:r>
          </w:p>
        </w:tc>
      </w:tr>
      <w:tr w:rsidR="00BE4D61" w:rsidRPr="00123DD8" w14:paraId="35F01841" w14:textId="77777777" w:rsidTr="00797A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5" w:type="pct"/>
            <w:noWrap/>
            <w:hideMark/>
          </w:tcPr>
          <w:p w14:paraId="2FFBFB10" w14:textId="77777777" w:rsidR="00BE4D61" w:rsidRPr="00123DD8" w:rsidRDefault="00BE4D61" w:rsidP="008868BC">
            <w:pPr>
              <w:rPr>
                <w:rFonts w:eastAsia="Times New Roman" w:cstheme="minorHAnsi"/>
                <w:color w:val="000000"/>
                <w:sz w:val="20"/>
                <w:szCs w:val="20"/>
              </w:rPr>
            </w:pPr>
            <w:r w:rsidRPr="00123DD8">
              <w:rPr>
                <w:rFonts w:eastAsia="Times New Roman" w:cstheme="minorHAnsi"/>
                <w:color w:val="000000"/>
                <w:sz w:val="20"/>
                <w:szCs w:val="20"/>
              </w:rPr>
              <w:t xml:space="preserve">Trial of Labor After Cesarean Section </w:t>
            </w:r>
          </w:p>
        </w:tc>
        <w:tc>
          <w:tcPr>
            <w:tcW w:w="402" w:type="pct"/>
            <w:noWrap/>
            <w:hideMark/>
          </w:tcPr>
          <w:p w14:paraId="70DB6090"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Procedural</w:t>
            </w:r>
          </w:p>
        </w:tc>
        <w:tc>
          <w:tcPr>
            <w:tcW w:w="275" w:type="pct"/>
            <w:noWrap/>
            <w:hideMark/>
          </w:tcPr>
          <w:p w14:paraId="48B2F5B3"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I</w:t>
            </w:r>
          </w:p>
        </w:tc>
        <w:tc>
          <w:tcPr>
            <w:tcW w:w="2096" w:type="pct"/>
            <w:noWrap/>
            <w:hideMark/>
          </w:tcPr>
          <w:p w14:paraId="1488B67C" w14:textId="77777777" w:rsidR="00BE4D61" w:rsidRPr="00123DD8" w:rsidRDefault="005C0E14"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hyperlink r:id="rId27" w:history="1">
              <w:r w:rsidR="00BE4D61" w:rsidRPr="00123DD8">
                <w:rPr>
                  <w:rStyle w:val="Hyperlink"/>
                  <w:rFonts w:eastAsia="Times New Roman" w:cstheme="minorHAnsi"/>
                  <w:sz w:val="20"/>
                  <w:szCs w:val="20"/>
                </w:rPr>
                <w:t>Accountable Care Program SDM TOLAC Pilot</w:t>
              </w:r>
            </w:hyperlink>
          </w:p>
        </w:tc>
        <w:tc>
          <w:tcPr>
            <w:tcW w:w="1421" w:type="pct"/>
            <w:noWrap/>
            <w:hideMark/>
          </w:tcPr>
          <w:p w14:paraId="5BCD8072"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123DD8">
              <w:rPr>
                <w:rFonts w:eastAsia="Times New Roman" w:cstheme="minorHAnsi"/>
                <w:sz w:val="20"/>
                <w:szCs w:val="20"/>
              </w:rPr>
              <w:t>Pregnancy: your birth options after cesarean (Healthwise)</w:t>
            </w:r>
          </w:p>
          <w:p w14:paraId="75C5879A" w14:textId="77777777" w:rsidR="00BE4D61" w:rsidRPr="00123DD8" w:rsidRDefault="00BE4D61" w:rsidP="008868BC">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sz w:val="20"/>
                <w:szCs w:val="20"/>
              </w:rPr>
              <w:t>Pregnancy: birth options if your baby is getting too big (Healthwise)</w:t>
            </w:r>
          </w:p>
        </w:tc>
      </w:tr>
      <w:tr w:rsidR="00BE4D61" w:rsidRPr="00123DD8" w14:paraId="0AB4F0B3" w14:textId="77777777" w:rsidTr="00797A91">
        <w:trPr>
          <w:trHeight w:val="300"/>
        </w:trPr>
        <w:tc>
          <w:tcPr>
            <w:cnfStyle w:val="001000000000" w:firstRow="0" w:lastRow="0" w:firstColumn="1" w:lastColumn="0" w:oddVBand="0" w:evenVBand="0" w:oddHBand="0" w:evenHBand="0" w:firstRowFirstColumn="0" w:firstRowLastColumn="0" w:lastRowFirstColumn="0" w:lastRowLastColumn="0"/>
            <w:tcW w:w="805" w:type="pct"/>
            <w:noWrap/>
          </w:tcPr>
          <w:p w14:paraId="56DF5273" w14:textId="77777777" w:rsidR="00BE4D61" w:rsidRPr="00123DD8" w:rsidRDefault="00BE4D61" w:rsidP="008868BC">
            <w:pPr>
              <w:rPr>
                <w:rFonts w:eastAsia="Times New Roman" w:cstheme="minorHAnsi"/>
                <w:color w:val="000000"/>
                <w:sz w:val="20"/>
                <w:szCs w:val="20"/>
              </w:rPr>
            </w:pPr>
            <w:r w:rsidRPr="00123DD8">
              <w:rPr>
                <w:rFonts w:eastAsia="Times New Roman" w:cstheme="minorHAnsi"/>
                <w:color w:val="000000"/>
                <w:sz w:val="20"/>
                <w:szCs w:val="20"/>
              </w:rPr>
              <w:t>Spine Surgery (Lumbar Fusion)</w:t>
            </w:r>
          </w:p>
        </w:tc>
        <w:tc>
          <w:tcPr>
            <w:tcW w:w="402" w:type="pct"/>
            <w:noWrap/>
          </w:tcPr>
          <w:p w14:paraId="506AE1A4"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 xml:space="preserve">Procedural </w:t>
            </w:r>
          </w:p>
        </w:tc>
        <w:tc>
          <w:tcPr>
            <w:tcW w:w="275" w:type="pct"/>
            <w:noWrap/>
          </w:tcPr>
          <w:p w14:paraId="6F24F0F9"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123DD8">
              <w:rPr>
                <w:rFonts w:eastAsia="Times New Roman" w:cstheme="minorHAnsi"/>
                <w:color w:val="000000"/>
                <w:sz w:val="20"/>
                <w:szCs w:val="20"/>
              </w:rPr>
              <w:t>I</w:t>
            </w:r>
          </w:p>
        </w:tc>
        <w:tc>
          <w:tcPr>
            <w:tcW w:w="2096" w:type="pct"/>
            <w:noWrap/>
          </w:tcPr>
          <w:p w14:paraId="773D7F28" w14:textId="3ED21096" w:rsidR="00BE4D61" w:rsidRPr="00123DD8" w:rsidRDefault="00C13677" w:rsidP="00C13677">
            <w:pPr>
              <w:cnfStyle w:val="000000000000" w:firstRow="0" w:lastRow="0" w:firstColumn="0" w:lastColumn="0" w:oddVBand="0" w:evenVBand="0" w:oddHBand="0" w:evenHBand="0" w:firstRowFirstColumn="0" w:firstRowLastColumn="0" w:lastRowFirstColumn="0" w:lastRowLastColumn="0"/>
              <w:rPr>
                <w:rStyle w:val="Hyperlink"/>
                <w:rFonts w:eastAsia="Times New Roman" w:cstheme="minorHAnsi"/>
                <w:sz w:val="20"/>
                <w:szCs w:val="20"/>
              </w:rPr>
            </w:pPr>
            <w:r w:rsidRPr="00C13677">
              <w:rPr>
                <w:rStyle w:val="Hyperlink"/>
                <w:rFonts w:eastAsia="Times New Roman" w:cstheme="minorHAnsi"/>
                <w:sz w:val="20"/>
                <w:szCs w:val="20"/>
              </w:rPr>
              <w:t>Patient, surgeon, and healthcare purchaser views on the use of decision and communication aids</w:t>
            </w:r>
            <w:r>
              <w:rPr>
                <w:rStyle w:val="Hyperlink"/>
                <w:rFonts w:eastAsia="Times New Roman" w:cstheme="minorHAnsi"/>
                <w:sz w:val="20"/>
                <w:szCs w:val="20"/>
              </w:rPr>
              <w:t xml:space="preserve"> </w:t>
            </w:r>
            <w:r w:rsidRPr="00C13677">
              <w:rPr>
                <w:rStyle w:val="Hyperlink"/>
                <w:rFonts w:eastAsia="Times New Roman" w:cstheme="minorHAnsi"/>
                <w:sz w:val="20"/>
                <w:szCs w:val="20"/>
              </w:rPr>
              <w:t>in orthopaedic surgery: a mixed methods study</w:t>
            </w:r>
          </w:p>
        </w:tc>
        <w:tc>
          <w:tcPr>
            <w:tcW w:w="1421" w:type="pct"/>
            <w:noWrap/>
          </w:tcPr>
          <w:p w14:paraId="0D4427BB" w14:textId="77777777" w:rsidR="00BE4D61" w:rsidRPr="00123DD8" w:rsidRDefault="00BE4D61" w:rsidP="008868BC">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123DD8">
              <w:rPr>
                <w:rFonts w:eastAsia="Times New Roman" w:cstheme="minorHAnsi"/>
                <w:sz w:val="20"/>
                <w:szCs w:val="20"/>
              </w:rPr>
              <w:t xml:space="preserve">Spinal stenosis: choosing the right treatment for you (Health Dialogue) </w:t>
            </w:r>
          </w:p>
        </w:tc>
      </w:tr>
    </w:tbl>
    <w:p w14:paraId="1EF18E99" w14:textId="77777777" w:rsidR="00123DD8" w:rsidRPr="00123DD8" w:rsidRDefault="00123DD8">
      <w:pPr>
        <w:rPr>
          <w:rFonts w:eastAsiaTheme="majorEastAsia" w:cstheme="minorHAnsi"/>
        </w:rPr>
        <w:sectPr w:rsidR="00123DD8" w:rsidRPr="00123DD8" w:rsidSect="00123DD8">
          <w:footnotePr>
            <w:numFmt w:val="lowerRoman"/>
          </w:footnotePr>
          <w:endnotePr>
            <w:numFmt w:val="decimal"/>
          </w:endnotePr>
          <w:pgSz w:w="15840" w:h="12240" w:orient="landscape"/>
          <w:pgMar w:top="1440" w:right="990" w:bottom="1440" w:left="900" w:header="720" w:footer="720" w:gutter="0"/>
          <w:cols w:space="720"/>
          <w:docGrid w:linePitch="360"/>
        </w:sectPr>
      </w:pPr>
    </w:p>
    <w:p w14:paraId="222301BF" w14:textId="4D31BC9E" w:rsidR="0063780C" w:rsidRPr="0063780C" w:rsidRDefault="006E6D7B" w:rsidP="00CD30FF">
      <w:pPr>
        <w:keepNext/>
        <w:keepLines/>
        <w:shd w:val="clear" w:color="auto" w:fill="009999"/>
        <w:spacing w:after="120" w:line="24" w:lineRule="atLeast"/>
        <w:outlineLvl w:val="0"/>
        <w:rPr>
          <w:rFonts w:eastAsiaTheme="majorEastAsia" w:cstheme="majorBidi"/>
          <w:b/>
          <w:color w:val="FFFFFF" w:themeColor="background1"/>
          <w:sz w:val="24"/>
          <w:szCs w:val="32"/>
        </w:rPr>
      </w:pPr>
      <w:r>
        <w:rPr>
          <w:rFonts w:eastAsiaTheme="majorEastAsia" w:cstheme="majorBidi"/>
          <w:b/>
          <w:color w:val="FFFFFF" w:themeColor="background1"/>
          <w:sz w:val="24"/>
          <w:szCs w:val="32"/>
        </w:rPr>
        <w:t>M</w:t>
      </w:r>
      <w:r w:rsidR="0063780C" w:rsidRPr="0063780C">
        <w:rPr>
          <w:rFonts w:eastAsiaTheme="majorEastAsia" w:cstheme="majorBidi"/>
          <w:b/>
          <w:color w:val="FFFFFF" w:themeColor="background1"/>
          <w:sz w:val="24"/>
          <w:szCs w:val="32"/>
        </w:rPr>
        <w:t>easurement</w:t>
      </w:r>
      <w:bookmarkEnd w:id="2"/>
      <w:bookmarkEnd w:id="3"/>
      <w:bookmarkEnd w:id="4"/>
      <w:bookmarkEnd w:id="5"/>
      <w:r w:rsidR="0063780C" w:rsidRPr="0063780C">
        <w:rPr>
          <w:rFonts w:eastAsiaTheme="majorEastAsia" w:cstheme="majorBidi"/>
          <w:b/>
          <w:color w:val="FFFFFF" w:themeColor="background1"/>
          <w:sz w:val="24"/>
          <w:szCs w:val="32"/>
        </w:rPr>
        <w:t xml:space="preserve"> </w:t>
      </w:r>
    </w:p>
    <w:p w14:paraId="29A58FBD" w14:textId="77777777" w:rsidR="001F6997" w:rsidRDefault="001F6997" w:rsidP="009C2E6A">
      <w:pPr>
        <w:keepNext/>
        <w:keepLines/>
        <w:spacing w:before="40" w:after="0"/>
        <w:outlineLvl w:val="1"/>
        <w:rPr>
          <w:rFonts w:eastAsiaTheme="majorEastAsia" w:cstheme="majorBidi"/>
          <w:b/>
          <w:i/>
          <w:color w:val="44546A" w:themeColor="text2"/>
          <w:szCs w:val="26"/>
        </w:rPr>
      </w:pPr>
      <w:bookmarkStart w:id="28" w:name="_Toc478384827"/>
      <w:bookmarkStart w:id="29" w:name="_Toc515974104"/>
      <w:bookmarkStart w:id="30" w:name="_Toc516042637"/>
      <w:bookmarkStart w:id="31" w:name="_Toc516042932"/>
      <w:bookmarkStart w:id="32" w:name="_Toc516646370"/>
      <w:bookmarkStart w:id="33" w:name="_Toc516822687"/>
    </w:p>
    <w:p w14:paraId="3D8C3754" w14:textId="77777777" w:rsidR="00BF0117" w:rsidRDefault="001F6997" w:rsidP="001F6997">
      <w:pPr>
        <w:pStyle w:val="ListParagraph"/>
        <w:numPr>
          <w:ilvl w:val="0"/>
          <w:numId w:val="3"/>
        </w:numPr>
      </w:pPr>
      <w:r w:rsidRPr="00BF0117">
        <w:rPr>
          <w:b/>
        </w:rPr>
        <w:t>Shared Decision Making Process</w:t>
      </w:r>
      <w:r>
        <w:t xml:space="preserve"> </w:t>
      </w:r>
    </w:p>
    <w:p w14:paraId="55B2557E" w14:textId="7D2504B0" w:rsidR="008C5CBC" w:rsidRDefault="008C5CBC" w:rsidP="00BF0117">
      <w:pPr>
        <w:pStyle w:val="ListParagraph"/>
        <w:ind w:firstLine="720"/>
      </w:pPr>
      <w:r>
        <w:t>Steward:</w:t>
      </w:r>
      <w:r w:rsidRPr="008C5CBC">
        <w:t xml:space="preserve"> Massachusetts General Hospital</w:t>
      </w:r>
    </w:p>
    <w:p w14:paraId="38F6EEB0" w14:textId="54AC6071" w:rsidR="00BF0117" w:rsidRDefault="001F6997" w:rsidP="00BF0117">
      <w:pPr>
        <w:pStyle w:val="ListParagraph"/>
        <w:ind w:firstLine="720"/>
      </w:pPr>
      <w:r>
        <w:t xml:space="preserve">NQF </w:t>
      </w:r>
      <w:r w:rsidR="008C5CBC">
        <w:t>#</w:t>
      </w:r>
      <w:r>
        <w:t>2962</w:t>
      </w:r>
    </w:p>
    <w:p w14:paraId="2E0FDF49" w14:textId="77777777" w:rsidR="00BF0117" w:rsidRPr="00BF0117" w:rsidRDefault="001F6997" w:rsidP="00BF0117">
      <w:pPr>
        <w:pStyle w:val="ListParagraph"/>
        <w:ind w:left="1440"/>
        <w:rPr>
          <w:i/>
        </w:rPr>
      </w:pPr>
      <w:r w:rsidRPr="00BF0117">
        <w:rPr>
          <w:i/>
        </w:rPr>
        <w:t>This measure assesses the extent to which health care providers actually involve patients in a decision-making process when there is more than one reasonable option. This proposal is to focus on patients who have undergone any one of 7 common, important surgical procedures: total replacement of the knee or hip, lower back surgery for spinal stenosis of herniated disc, radical prostatectomy for prostate cancer, mastectomy for early stage breast cancer or percutaneous coronary intervention (PCI) for stable angina. Patients answer four questions (scored 0 to 4) about their interactions with providers about the decision to have the procedure, and the measure of the extent to which a provider or provider group is practicing shared decision making for a particular procedure is the average score from their responding patients who had the procedure.</w:t>
      </w:r>
    </w:p>
    <w:p w14:paraId="18CA4955" w14:textId="77777777" w:rsidR="00BF0117" w:rsidRPr="00C80DB4" w:rsidRDefault="001F6997" w:rsidP="001F6997">
      <w:pPr>
        <w:pStyle w:val="ListParagraph"/>
        <w:numPr>
          <w:ilvl w:val="0"/>
          <w:numId w:val="3"/>
        </w:numPr>
        <w:rPr>
          <w:b/>
        </w:rPr>
      </w:pPr>
      <w:r w:rsidRPr="00C80DB4">
        <w:rPr>
          <w:b/>
        </w:rPr>
        <w:t xml:space="preserve">Informed, Patient-Centered Hip and Knee Replacement Surgery </w:t>
      </w:r>
    </w:p>
    <w:p w14:paraId="79BE64B6" w14:textId="73FCBF24" w:rsidR="00BF0117" w:rsidRDefault="001F6997" w:rsidP="00BF0117">
      <w:pPr>
        <w:pStyle w:val="ListParagraph"/>
        <w:ind w:firstLine="720"/>
      </w:pPr>
      <w:r>
        <w:t xml:space="preserve">NQF </w:t>
      </w:r>
      <w:r w:rsidR="008C5CBC">
        <w:t>#</w:t>
      </w:r>
      <w:r>
        <w:t>2958</w:t>
      </w:r>
    </w:p>
    <w:p w14:paraId="45FF32EE" w14:textId="22EA1DEE" w:rsidR="00BF0117" w:rsidRDefault="00BF0117" w:rsidP="00BF0117">
      <w:pPr>
        <w:pStyle w:val="ListParagraph"/>
        <w:ind w:firstLine="720"/>
      </w:pPr>
      <w:r>
        <w:t>Steward:</w:t>
      </w:r>
      <w:r w:rsidRPr="00BF0117">
        <w:t xml:space="preserve"> Massachusetts General Hospital</w:t>
      </w:r>
    </w:p>
    <w:p w14:paraId="1AD275D3" w14:textId="62268C3C" w:rsidR="00BF0117" w:rsidRPr="00BF0117" w:rsidRDefault="00BF0117" w:rsidP="00BF0117">
      <w:pPr>
        <w:pStyle w:val="ListParagraph"/>
        <w:ind w:left="1440"/>
        <w:rPr>
          <w:i/>
        </w:rPr>
      </w:pPr>
      <w:r w:rsidRPr="00BF0117">
        <w:rPr>
          <w:i/>
        </w:rPr>
        <w:t>The measure is derived from patient responses to the Hip or Knee Decision Quality Instruments. Participants who have a passing knowledge score (60% or higher) and a clear preference for surgery are considered to have met the criteria for an informed, patient-centered decision. The target population is adult patients who had a primary hip or knee replacement surgery for treatment of hip or knee osteoarthritis.</w:t>
      </w:r>
    </w:p>
    <w:p w14:paraId="28897193" w14:textId="6AF756F3" w:rsidR="00BF0117" w:rsidRPr="00C80DB4" w:rsidRDefault="001F6997" w:rsidP="001F6997">
      <w:pPr>
        <w:pStyle w:val="ListParagraph"/>
        <w:numPr>
          <w:ilvl w:val="0"/>
          <w:numId w:val="3"/>
        </w:numPr>
        <w:rPr>
          <w:b/>
        </w:rPr>
      </w:pPr>
      <w:r w:rsidRPr="00C80DB4">
        <w:rPr>
          <w:b/>
        </w:rPr>
        <w:t xml:space="preserve">Gains in Patient </w:t>
      </w:r>
      <w:r w:rsidR="00BF0117" w:rsidRPr="00C80DB4">
        <w:rPr>
          <w:b/>
        </w:rPr>
        <w:t>Activation</w:t>
      </w:r>
      <w:r w:rsidRPr="00C80DB4">
        <w:rPr>
          <w:b/>
        </w:rPr>
        <w:t xml:space="preserve"> Scores at 12 Months </w:t>
      </w:r>
    </w:p>
    <w:p w14:paraId="2DCF8869" w14:textId="3207EBF6" w:rsidR="00BF0117" w:rsidRDefault="00BF0117" w:rsidP="00C80DB4">
      <w:pPr>
        <w:pStyle w:val="ListParagraph"/>
        <w:ind w:firstLine="720"/>
      </w:pPr>
      <w:r w:rsidRPr="00BF0117">
        <w:t xml:space="preserve">NQF </w:t>
      </w:r>
      <w:r w:rsidR="0001496E">
        <w:t>#</w:t>
      </w:r>
      <w:r w:rsidRPr="00BF0117">
        <w:t>2483</w:t>
      </w:r>
    </w:p>
    <w:p w14:paraId="6FE43E6C" w14:textId="3795C8A3" w:rsidR="00BF0117" w:rsidRDefault="0001496E" w:rsidP="00C80DB4">
      <w:pPr>
        <w:pStyle w:val="ListParagraph"/>
        <w:ind w:firstLine="720"/>
      </w:pPr>
      <w:r>
        <w:t>Steward:</w:t>
      </w:r>
      <w:r w:rsidR="00BF0117" w:rsidRPr="00BF0117">
        <w:t xml:space="preserve"> Insignia Health</w:t>
      </w:r>
    </w:p>
    <w:p w14:paraId="1D051D94" w14:textId="55FC3923" w:rsidR="00BF0117" w:rsidRPr="00BF0117" w:rsidRDefault="00BF0117" w:rsidP="00C80DB4">
      <w:pPr>
        <w:pStyle w:val="ListParagraph"/>
        <w:ind w:left="1440"/>
        <w:rPr>
          <w:i/>
        </w:rPr>
      </w:pPr>
      <w:r w:rsidRPr="00BF0117">
        <w:rPr>
          <w:i/>
        </w:rPr>
        <w:t>The Patient Activation Measure® (PAM®) is a 10 or 13 item questionnaire that assesses an individual´s knowledge, skill and confidence for managing their health and health care. The measure assesses individuals on a 0-100 scale. There are 4 levels of activation, from low (1) to high (4). The measure is not disease specific, but has been successfully used with a wide variety of chronic conditions, as well as with people with no conditions. The performance score would be the change in score from the baseline measurement to follow-up measurement, or the change in activation score over time for the eligible patients associated with the accountable unit. The outcome of interest is the patient’s ability to self-manage. High quality care should result in gains in ability to self-manage for most chronic disease patients. The outcome measured is a change in activation over time. The change score would indicate a change in the patient´s knowledge, skills, and confidence for self-management. A positive change would mean the patient is gaining in their ability to manage their health.</w:t>
      </w:r>
    </w:p>
    <w:p w14:paraId="3A2C0F7F" w14:textId="77777777" w:rsidR="00BF0117" w:rsidRPr="00C80DB4" w:rsidRDefault="001F6997" w:rsidP="001F6997">
      <w:pPr>
        <w:pStyle w:val="ListParagraph"/>
        <w:numPr>
          <w:ilvl w:val="0"/>
          <w:numId w:val="3"/>
        </w:numPr>
        <w:rPr>
          <w:b/>
        </w:rPr>
      </w:pPr>
      <w:r w:rsidRPr="00C80DB4">
        <w:rPr>
          <w:b/>
        </w:rPr>
        <w:t xml:space="preserve">Back Pain: Shared Decision Making </w:t>
      </w:r>
    </w:p>
    <w:p w14:paraId="71CA593B" w14:textId="70569621" w:rsidR="0001496E" w:rsidRDefault="0001496E" w:rsidP="00C80DB4">
      <w:pPr>
        <w:pStyle w:val="ListParagraph"/>
        <w:ind w:firstLine="720"/>
      </w:pPr>
      <w:r w:rsidRPr="0001496E">
        <w:t>NQF #0310</w:t>
      </w:r>
    </w:p>
    <w:p w14:paraId="7071643E" w14:textId="1B491DAF" w:rsidR="00BF0117" w:rsidRDefault="00BF0117" w:rsidP="00C80DB4">
      <w:pPr>
        <w:pStyle w:val="ListParagraph"/>
        <w:ind w:firstLine="720"/>
      </w:pPr>
      <w:r>
        <w:t>Steward:</w:t>
      </w:r>
      <w:r w:rsidRPr="00BF0117">
        <w:t xml:space="preserve"> National Committee for Quality Assurance</w:t>
      </w:r>
    </w:p>
    <w:p w14:paraId="7967806C" w14:textId="1BD2C282" w:rsidR="00BF0117" w:rsidRPr="00C80DB4" w:rsidRDefault="00BF0117" w:rsidP="00C80DB4">
      <w:pPr>
        <w:pStyle w:val="ListParagraph"/>
        <w:ind w:left="1440"/>
        <w:rPr>
          <w:i/>
        </w:rPr>
      </w:pPr>
      <w:r w:rsidRPr="00C80DB4">
        <w:rPr>
          <w:i/>
        </w:rPr>
        <w:t>Percentage of patients at least 18 years of age and younger than 80 with back pain with whom a physician or other clinician reviewed the range of treatment options, including alternatives to surgery prior to surgery. To demonstrate shared decision making, there must be documentation in the patient record of a discussion between the physician and the patient that includes all of the following: Treatment choices, including alternatives to surgery; Risks and benefits; Evidence of effectiveness</w:t>
      </w:r>
    </w:p>
    <w:p w14:paraId="190ECC87" w14:textId="77777777" w:rsidR="00BF0117" w:rsidRPr="008C5CBC" w:rsidRDefault="00BF0117" w:rsidP="00BF0117">
      <w:pPr>
        <w:pStyle w:val="ListParagraph"/>
        <w:numPr>
          <w:ilvl w:val="0"/>
          <w:numId w:val="3"/>
        </w:numPr>
        <w:rPr>
          <w:b/>
        </w:rPr>
      </w:pPr>
      <w:r w:rsidRPr="008C5CBC">
        <w:rPr>
          <w:b/>
        </w:rPr>
        <w:t>NCQA Supplemental items for CAHPS® 4.0 Adult Questionnaire (CAHPS 4.0H)</w:t>
      </w:r>
    </w:p>
    <w:p w14:paraId="2F54B089" w14:textId="4FB06280" w:rsidR="00C80DB4" w:rsidRDefault="00C80DB4" w:rsidP="00C80DB4">
      <w:pPr>
        <w:pStyle w:val="ListParagraph"/>
        <w:ind w:firstLine="720"/>
      </w:pPr>
      <w:r>
        <w:t>NQF #00</w:t>
      </w:r>
      <w:r w:rsidR="00CE624C">
        <w:t>0</w:t>
      </w:r>
      <w:r>
        <w:t>7</w:t>
      </w:r>
    </w:p>
    <w:p w14:paraId="3EFCEDFB" w14:textId="1CB4CC17" w:rsidR="00BF0117" w:rsidRDefault="00BF0117" w:rsidP="00C80DB4">
      <w:pPr>
        <w:pStyle w:val="ListParagraph"/>
        <w:ind w:firstLine="720"/>
      </w:pPr>
      <w:r>
        <w:t>Steward: National Committee for Quality Assurance</w:t>
      </w:r>
    </w:p>
    <w:p w14:paraId="415D12AC" w14:textId="4F98B8BE" w:rsidR="00BF0117" w:rsidRDefault="00BF0117" w:rsidP="00677ECE">
      <w:pPr>
        <w:pStyle w:val="ListParagraph"/>
        <w:ind w:left="1440"/>
      </w:pPr>
      <w:r w:rsidRPr="00C80DB4">
        <w:rPr>
          <w:i/>
        </w:rPr>
        <w:t>This supplemental set of items was developed jointly by NCQA and the AHRQ-sponsored CAHPS Consortium and is intended for use with the CAHPS 4.0 Health Plan survey. Some items are intended for Commercial health plan members only and are not included here. This measure provides information on the experiences of Medicaid health plan members with the organization. Results summarize member experiences through composites and question summary rates.</w:t>
      </w:r>
      <w:r w:rsidR="00677ECE" w:rsidRPr="00677ECE">
        <w:rPr>
          <w:i/>
        </w:rPr>
        <w:t xml:space="preserve"> </w:t>
      </w:r>
      <w:r w:rsidRPr="00677ECE">
        <w:rPr>
          <w:i/>
        </w:rPr>
        <w:t>In addition to the 4 core composites from the CAHPS 4.0 Health Plan survey and two composites for commercial populations only, the HEDIS supplemental set includes one composite score and t</w:t>
      </w:r>
      <w:r w:rsidR="00677ECE" w:rsidRPr="00677ECE">
        <w:rPr>
          <w:i/>
        </w:rPr>
        <w:t xml:space="preserve">wo item-specific summary rates.: </w:t>
      </w:r>
      <w:r w:rsidRPr="00677ECE">
        <w:rPr>
          <w:i/>
        </w:rPr>
        <w:t>Shared Decision Making Composite</w:t>
      </w:r>
      <w:r w:rsidR="00677ECE" w:rsidRPr="00677ECE">
        <w:rPr>
          <w:i/>
        </w:rPr>
        <w:t xml:space="preserve">, </w:t>
      </w:r>
      <w:r w:rsidRPr="00677ECE">
        <w:rPr>
          <w:i/>
        </w:rPr>
        <w:t>Heal</w:t>
      </w:r>
      <w:r w:rsidR="00677ECE" w:rsidRPr="00677ECE">
        <w:rPr>
          <w:i/>
        </w:rPr>
        <w:t xml:space="preserve">th Promotion and Education item, </w:t>
      </w:r>
      <w:r w:rsidRPr="00677ECE">
        <w:rPr>
          <w:i/>
        </w:rPr>
        <w:t>Coordination of Care item</w:t>
      </w:r>
    </w:p>
    <w:p w14:paraId="3412456E" w14:textId="6C922E09" w:rsidR="00BF0117" w:rsidRPr="008C5CBC" w:rsidRDefault="00BF0117" w:rsidP="00BF0117">
      <w:pPr>
        <w:pStyle w:val="ListParagraph"/>
        <w:numPr>
          <w:ilvl w:val="0"/>
          <w:numId w:val="3"/>
        </w:numPr>
        <w:rPr>
          <w:b/>
        </w:rPr>
      </w:pPr>
      <w:r w:rsidRPr="008C5CBC">
        <w:rPr>
          <w:b/>
        </w:rPr>
        <w:t>CAHPS</w:t>
      </w:r>
    </w:p>
    <w:p w14:paraId="63E88B20" w14:textId="6933219C" w:rsidR="00BF0117" w:rsidRDefault="00BF0117" w:rsidP="00221CAF">
      <w:pPr>
        <w:pStyle w:val="ListParagraph"/>
        <w:ind w:left="1440"/>
      </w:pPr>
      <w:r>
        <w:t>Q10: In the last 6 months, did a doctor or other health provider talk with you about the pros and cons of each choice for your treatment or health care?</w:t>
      </w:r>
    </w:p>
    <w:p w14:paraId="2C4F61A7" w14:textId="7C61FC3C" w:rsidR="00BB7E7A" w:rsidRDefault="00BF0117" w:rsidP="00BB7E7A">
      <w:pPr>
        <w:pStyle w:val="ListParagraph"/>
        <w:ind w:left="1440"/>
      </w:pPr>
      <w:r>
        <w:t>Q11: In the last 6months, when there was more than one choice for your treatment or health care, did a doctor or other health provider ask which choice you thought was best for you?</w:t>
      </w:r>
    </w:p>
    <w:p w14:paraId="688AA3EA" w14:textId="77777777" w:rsidR="00BB7E7A" w:rsidRDefault="00BB7E7A" w:rsidP="00BB7E7A">
      <w:pPr>
        <w:sectPr w:rsidR="00BB7E7A" w:rsidSect="00123DD8">
          <w:footnotePr>
            <w:numFmt w:val="lowerRoman"/>
          </w:footnotePr>
          <w:endnotePr>
            <w:numFmt w:val="decimal"/>
          </w:endnotePr>
          <w:pgSz w:w="12240" w:h="15840"/>
          <w:pgMar w:top="990" w:right="1440" w:bottom="900" w:left="1440" w:header="720" w:footer="720" w:gutter="0"/>
          <w:cols w:space="720"/>
          <w:docGrid w:linePitch="360"/>
        </w:sectPr>
      </w:pPr>
    </w:p>
    <w:p w14:paraId="56168F51" w14:textId="25E1F542" w:rsidR="00BB7E7A" w:rsidRDefault="00BB7E7A" w:rsidP="00BB7E7A"/>
    <w:p w14:paraId="41D11286" w14:textId="77777777" w:rsidR="001F6997" w:rsidRDefault="001F6997" w:rsidP="001F6997">
      <w:pPr>
        <w:pStyle w:val="Heading1"/>
        <w:shd w:val="clear" w:color="auto" w:fill="auto"/>
        <w:sectPr w:rsidR="001F6997" w:rsidSect="007A6F35">
          <w:footnotePr>
            <w:numFmt w:val="lowerRoman"/>
          </w:footnotePr>
          <w:endnotePr>
            <w:numFmt w:val="decimal"/>
          </w:endnotePr>
          <w:type w:val="continuous"/>
          <w:pgSz w:w="12240" w:h="15840"/>
          <w:pgMar w:top="720" w:right="1440" w:bottom="288" w:left="1440" w:header="720" w:footer="720" w:gutter="0"/>
          <w:cols w:space="720"/>
          <w:docGrid w:linePitch="360"/>
        </w:sectPr>
      </w:pPr>
      <w:bookmarkStart w:id="34" w:name="_Toc516822699"/>
      <w:bookmarkEnd w:id="28"/>
      <w:bookmarkEnd w:id="29"/>
      <w:bookmarkEnd w:id="30"/>
      <w:bookmarkEnd w:id="31"/>
      <w:bookmarkEnd w:id="32"/>
      <w:bookmarkEnd w:id="33"/>
    </w:p>
    <w:p w14:paraId="2E05980D" w14:textId="77777777" w:rsidR="00BB7E7A" w:rsidRDefault="00BB7E7A" w:rsidP="00BB7E7A">
      <w:pPr>
        <w:pStyle w:val="Heading1"/>
        <w:rPr>
          <w:rFonts w:eastAsiaTheme="minorEastAsia"/>
        </w:rPr>
      </w:pPr>
      <w:bookmarkStart w:id="35" w:name="_Toc516822700"/>
      <w:bookmarkStart w:id="36" w:name="_Toc534182140"/>
      <w:bookmarkEnd w:id="34"/>
      <w:r>
        <w:rPr>
          <w:rFonts w:eastAsiaTheme="minorEastAsia"/>
        </w:rPr>
        <w:t>Appendix C: Guideline and Systematic Review Search Results</w:t>
      </w:r>
      <w:bookmarkEnd w:id="36"/>
      <w:r>
        <w:rPr>
          <w:rFonts w:eastAsiaTheme="minorEastAsia"/>
        </w:rPr>
        <w:t xml:space="preserve"> </w:t>
      </w:r>
    </w:p>
    <w:tbl>
      <w:tblPr>
        <w:tblStyle w:val="PlainTable11"/>
        <w:tblW w:w="13223" w:type="dxa"/>
        <w:tblLook w:val="04A0" w:firstRow="1" w:lastRow="0" w:firstColumn="1" w:lastColumn="0" w:noHBand="0" w:noVBand="1"/>
      </w:tblPr>
      <w:tblGrid>
        <w:gridCol w:w="1428"/>
        <w:gridCol w:w="855"/>
        <w:gridCol w:w="1850"/>
        <w:gridCol w:w="9090"/>
      </w:tblGrid>
      <w:tr w:rsidR="00BB7E7A" w:rsidRPr="00BC0FAE" w14:paraId="131E2084" w14:textId="77777777" w:rsidTr="00BC0F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8" w:type="dxa"/>
            <w:noWrap/>
            <w:hideMark/>
          </w:tcPr>
          <w:p w14:paraId="4B86CF95" w14:textId="77777777" w:rsidR="00BB7E7A" w:rsidRPr="00BC0FAE" w:rsidRDefault="00BB7E7A">
            <w:pPr>
              <w:rPr>
                <w:b w:val="0"/>
              </w:rPr>
            </w:pPr>
          </w:p>
        </w:tc>
        <w:tc>
          <w:tcPr>
            <w:tcW w:w="855" w:type="dxa"/>
            <w:noWrap/>
            <w:hideMark/>
          </w:tcPr>
          <w:p w14:paraId="0DD65E33" w14:textId="77777777" w:rsidR="00BB7E7A" w:rsidRPr="00BC0FAE" w:rsidRDefault="00BB7E7A">
            <w:pPr>
              <w:cnfStyle w:val="100000000000" w:firstRow="1" w:lastRow="0" w:firstColumn="0" w:lastColumn="0" w:oddVBand="0" w:evenVBand="0" w:oddHBand="0" w:evenHBand="0" w:firstRowFirstColumn="0" w:firstRowLastColumn="0" w:lastRowFirstColumn="0" w:lastRowLastColumn="0"/>
              <w:rPr>
                <w:rFonts w:cstheme="minorHAnsi"/>
                <w:b w:val="0"/>
                <w:i/>
                <w:sz w:val="20"/>
                <w:szCs w:val="20"/>
              </w:rPr>
            </w:pPr>
            <w:r w:rsidRPr="00BC0FAE">
              <w:rPr>
                <w:rFonts w:cstheme="minorHAnsi"/>
                <w:b w:val="0"/>
                <w:i/>
                <w:sz w:val="20"/>
                <w:szCs w:val="20"/>
              </w:rPr>
              <w:t>Year</w:t>
            </w:r>
          </w:p>
        </w:tc>
        <w:tc>
          <w:tcPr>
            <w:tcW w:w="1850" w:type="dxa"/>
            <w:noWrap/>
            <w:hideMark/>
          </w:tcPr>
          <w:p w14:paraId="399879A4" w14:textId="77777777" w:rsidR="00BB7E7A" w:rsidRPr="00BC0FAE" w:rsidRDefault="00BB7E7A">
            <w:pPr>
              <w:cnfStyle w:val="100000000000" w:firstRow="1" w:lastRow="0" w:firstColumn="0" w:lastColumn="0" w:oddVBand="0" w:evenVBand="0" w:oddHBand="0" w:evenHBand="0" w:firstRowFirstColumn="0" w:firstRowLastColumn="0" w:lastRowFirstColumn="0" w:lastRowLastColumn="0"/>
              <w:rPr>
                <w:rFonts w:cstheme="minorHAnsi"/>
                <w:b w:val="0"/>
                <w:i/>
                <w:sz w:val="20"/>
                <w:szCs w:val="20"/>
              </w:rPr>
            </w:pPr>
            <w:r w:rsidRPr="00BC0FAE">
              <w:rPr>
                <w:rFonts w:cstheme="minorHAnsi"/>
                <w:b w:val="0"/>
                <w:i/>
                <w:sz w:val="20"/>
                <w:szCs w:val="20"/>
              </w:rPr>
              <w:t>Title</w:t>
            </w:r>
          </w:p>
        </w:tc>
        <w:tc>
          <w:tcPr>
            <w:tcW w:w="9090" w:type="dxa"/>
            <w:noWrap/>
            <w:hideMark/>
          </w:tcPr>
          <w:p w14:paraId="297F48F1" w14:textId="77777777" w:rsidR="00BB7E7A" w:rsidRPr="00BC0FAE" w:rsidRDefault="00BB7E7A">
            <w:pPr>
              <w:cnfStyle w:val="100000000000" w:firstRow="1" w:lastRow="0" w:firstColumn="0" w:lastColumn="0" w:oddVBand="0" w:evenVBand="0" w:oddHBand="0" w:evenHBand="0" w:firstRowFirstColumn="0" w:firstRowLastColumn="0" w:lastRowFirstColumn="0" w:lastRowLastColumn="0"/>
              <w:rPr>
                <w:rFonts w:cstheme="minorHAnsi"/>
                <w:b w:val="0"/>
                <w:i/>
                <w:sz w:val="20"/>
                <w:szCs w:val="20"/>
              </w:rPr>
            </w:pPr>
            <w:r w:rsidRPr="00BC0FAE">
              <w:rPr>
                <w:rFonts w:cstheme="minorHAnsi"/>
                <w:b w:val="0"/>
                <w:i/>
                <w:sz w:val="20"/>
                <w:szCs w:val="20"/>
              </w:rPr>
              <w:t>Summary</w:t>
            </w:r>
          </w:p>
        </w:tc>
      </w:tr>
      <w:tr w:rsidR="00BB7E7A" w:rsidRPr="00BC0FAE" w14:paraId="26B9E517" w14:textId="77777777" w:rsidTr="00BC0F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8" w:type="dxa"/>
            <w:noWrap/>
            <w:hideMark/>
          </w:tcPr>
          <w:p w14:paraId="05D22F10" w14:textId="77777777" w:rsidR="00BB7E7A" w:rsidRPr="00BC0FAE" w:rsidRDefault="00BB7E7A">
            <w:pPr>
              <w:rPr>
                <w:rFonts w:ascii="Calibri" w:hAnsi="Calibri" w:cstheme="minorHAnsi"/>
                <w:b w:val="0"/>
                <w:i/>
                <w:sz w:val="20"/>
                <w:szCs w:val="20"/>
              </w:rPr>
            </w:pPr>
            <w:r w:rsidRPr="00BC0FAE">
              <w:rPr>
                <w:rFonts w:cstheme="minorHAnsi"/>
                <w:b w:val="0"/>
                <w:i/>
                <w:sz w:val="20"/>
                <w:szCs w:val="20"/>
              </w:rPr>
              <w:t xml:space="preserve">AHRQ: Research Findings and Reports </w:t>
            </w:r>
          </w:p>
        </w:tc>
        <w:tc>
          <w:tcPr>
            <w:tcW w:w="855" w:type="dxa"/>
            <w:noWrap/>
          </w:tcPr>
          <w:p w14:paraId="6B643ABF" w14:textId="28B4B085" w:rsidR="00BB7E7A" w:rsidRPr="00BC0FAE" w:rsidRDefault="00BB7E7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C0FAE">
              <w:rPr>
                <w:rFonts w:cstheme="minorHAnsi"/>
                <w:sz w:val="20"/>
                <w:szCs w:val="20"/>
              </w:rPr>
              <w:t>2014</w:t>
            </w:r>
          </w:p>
        </w:tc>
        <w:tc>
          <w:tcPr>
            <w:tcW w:w="1850" w:type="dxa"/>
            <w:noWrap/>
          </w:tcPr>
          <w:p w14:paraId="3C79C9F3" w14:textId="1BDB0081" w:rsidR="00BB7E7A" w:rsidRPr="00BC0FAE" w:rsidRDefault="00BB7E7A">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28" w:history="1">
              <w:r w:rsidRPr="00BC0FAE">
                <w:rPr>
                  <w:rStyle w:val="Hyperlink"/>
                  <w:sz w:val="20"/>
                  <w:szCs w:val="20"/>
                </w:rPr>
                <w:t>Decision Aids for Cancer Screening and Treatment</w:t>
              </w:r>
            </w:hyperlink>
          </w:p>
        </w:tc>
        <w:tc>
          <w:tcPr>
            <w:tcW w:w="9090" w:type="dxa"/>
            <w:noWrap/>
          </w:tcPr>
          <w:p w14:paraId="27454020" w14:textId="0EC39302" w:rsidR="00BB7E7A" w:rsidRPr="00BC0FAE" w:rsidRDefault="00BB7E7A" w:rsidP="00BB7E7A">
            <w:pPr>
              <w:cnfStyle w:val="000000100000" w:firstRow="0" w:lastRow="0" w:firstColumn="0" w:lastColumn="0" w:oddVBand="0" w:evenVBand="0" w:oddHBand="1" w:evenHBand="0" w:firstRowFirstColumn="0" w:firstRowLastColumn="0" w:lastRowFirstColumn="0" w:lastRowLastColumn="0"/>
              <w:rPr>
                <w:sz w:val="18"/>
                <w:szCs w:val="18"/>
              </w:rPr>
            </w:pPr>
            <w:r w:rsidRPr="00BC0FAE">
              <w:rPr>
                <w:sz w:val="18"/>
                <w:szCs w:val="18"/>
              </w:rPr>
              <w:t>Cancer-related decision aids have evolved over time, and there is considerable diversity in both format and available evidence. We found strong evidence that cancer-related decision aids increase knowledge without adverse impact on decisional conflict or anxiety. We found moderate- or low-strength evidence that patients using decision aids are more likely to make informed decisions, have accurate risk perceptions, make choices that best agree with their values, and not remain undecided.</w:t>
            </w:r>
            <w:r w:rsidRPr="00BC0FAE">
              <w:rPr>
                <w:sz w:val="18"/>
                <w:szCs w:val="18"/>
              </w:rPr>
              <w:t xml:space="preserve"> </w:t>
            </w:r>
            <w:r w:rsidRPr="00BC0FAE">
              <w:rPr>
                <w:sz w:val="18"/>
                <w:szCs w:val="18"/>
              </w:rPr>
              <w:t>This review adds to the literature that the effectiveness of cancer-related decision aids does not appear to be modified by specific attributes of decision aid delivery format, content, or other characteristics of their development and implementation. Very limited information was available on other outcomes or on the effectiveness of interventions that target providers to promote shared decision making by means of decision aids.</w:t>
            </w:r>
          </w:p>
        </w:tc>
      </w:tr>
      <w:tr w:rsidR="0083520F" w:rsidRPr="00BC0FAE" w14:paraId="75D853FF" w14:textId="77777777" w:rsidTr="00BC0FAE">
        <w:trPr>
          <w:trHeight w:val="300"/>
        </w:trPr>
        <w:tc>
          <w:tcPr>
            <w:cnfStyle w:val="001000000000" w:firstRow="0" w:lastRow="0" w:firstColumn="1" w:lastColumn="0" w:oddVBand="0" w:evenVBand="0" w:oddHBand="0" w:evenHBand="0" w:firstRowFirstColumn="0" w:firstRowLastColumn="0" w:lastRowFirstColumn="0" w:lastRowLastColumn="0"/>
            <w:tcW w:w="1428" w:type="dxa"/>
            <w:vMerge w:val="restart"/>
            <w:noWrap/>
          </w:tcPr>
          <w:p w14:paraId="4407D5B5" w14:textId="03AE4784" w:rsidR="0083520F" w:rsidRPr="00BC0FAE" w:rsidRDefault="0083520F" w:rsidP="00D9405C">
            <w:pPr>
              <w:rPr>
                <w:rFonts w:cstheme="minorHAnsi"/>
                <w:b w:val="0"/>
                <w:i/>
                <w:sz w:val="20"/>
                <w:szCs w:val="20"/>
              </w:rPr>
            </w:pPr>
            <w:r w:rsidRPr="00BC0FAE">
              <w:rPr>
                <w:rFonts w:cstheme="minorHAnsi"/>
                <w:b w:val="0"/>
                <w:i/>
                <w:sz w:val="20"/>
                <w:szCs w:val="20"/>
              </w:rPr>
              <w:t xml:space="preserve">Cochrane Collection </w:t>
            </w:r>
          </w:p>
        </w:tc>
        <w:tc>
          <w:tcPr>
            <w:tcW w:w="855" w:type="dxa"/>
            <w:noWrap/>
          </w:tcPr>
          <w:p w14:paraId="7B9E55F2" w14:textId="520D5D5F" w:rsidR="0083520F" w:rsidRPr="00BC0FAE" w:rsidRDefault="0083520F">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rPr>
            </w:pPr>
            <w:r w:rsidRPr="00BC0FAE">
              <w:rPr>
                <w:rFonts w:ascii="Calibri" w:hAnsi="Calibri" w:cstheme="minorHAnsi"/>
                <w:sz w:val="20"/>
                <w:szCs w:val="20"/>
              </w:rPr>
              <w:t>2019</w:t>
            </w:r>
          </w:p>
        </w:tc>
        <w:tc>
          <w:tcPr>
            <w:tcW w:w="1850" w:type="dxa"/>
            <w:noWrap/>
          </w:tcPr>
          <w:p w14:paraId="045412EA" w14:textId="7A2448C1" w:rsidR="0083520F" w:rsidRPr="00BC0FAE" w:rsidRDefault="008352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hyperlink r:id="rId29" w:history="1">
              <w:r w:rsidRPr="00BC0FAE">
                <w:rPr>
                  <w:rStyle w:val="Hyperlink"/>
                  <w:rFonts w:cstheme="minorHAnsi"/>
                  <w:sz w:val="20"/>
                  <w:szCs w:val="20"/>
                </w:rPr>
                <w:t>Interventions for promoting participation in shared decision‐making for children and adolescents with cystic fibrosis</w:t>
              </w:r>
            </w:hyperlink>
          </w:p>
        </w:tc>
        <w:tc>
          <w:tcPr>
            <w:tcW w:w="9090" w:type="dxa"/>
            <w:noWrap/>
          </w:tcPr>
          <w:p w14:paraId="28664100" w14:textId="7CC63F0C" w:rsidR="0083520F" w:rsidRPr="00BC0FAE" w:rsidRDefault="0083520F">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C0FAE">
              <w:rPr>
                <w:rFonts w:cstheme="minorHAnsi"/>
                <w:sz w:val="18"/>
                <w:szCs w:val="18"/>
              </w:rPr>
              <w:t>We were unable to identify RCTs with evidence which would support healthcare policy‐making and practice related to implementation of shared decision‐making for children and adolescents (aged between four and 18 years) with CF). We hope that having identified this gap in research, awareness will increase amongst researchers of the need to design high‐quality shared decision‐making interventions for young people with CF, perhaps adapted from existing models for adults, and to test these interventions and children's preferences in RCTs.</w:t>
            </w:r>
          </w:p>
        </w:tc>
      </w:tr>
      <w:tr w:rsidR="0083520F" w:rsidRPr="00BC0FAE" w14:paraId="03486043" w14:textId="77777777" w:rsidTr="00BC0F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28" w:type="dxa"/>
            <w:vMerge/>
            <w:noWrap/>
            <w:hideMark/>
          </w:tcPr>
          <w:p w14:paraId="20125802" w14:textId="438941CE" w:rsidR="0083520F" w:rsidRPr="00BC0FAE" w:rsidRDefault="0083520F">
            <w:pPr>
              <w:rPr>
                <w:rFonts w:cstheme="minorHAnsi"/>
                <w:b w:val="0"/>
                <w:i/>
                <w:sz w:val="20"/>
                <w:szCs w:val="20"/>
              </w:rPr>
            </w:pPr>
          </w:p>
        </w:tc>
        <w:tc>
          <w:tcPr>
            <w:tcW w:w="855" w:type="dxa"/>
            <w:noWrap/>
          </w:tcPr>
          <w:p w14:paraId="7AC70CBB" w14:textId="2C85CDCD" w:rsidR="0083520F" w:rsidRPr="00BC0FAE" w:rsidRDefault="0083520F">
            <w:pPr>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rPr>
            </w:pPr>
            <w:r w:rsidRPr="00BC0FAE">
              <w:rPr>
                <w:rFonts w:ascii="Calibri" w:hAnsi="Calibri" w:cstheme="minorHAnsi"/>
                <w:sz w:val="20"/>
                <w:szCs w:val="20"/>
              </w:rPr>
              <w:t>2018</w:t>
            </w:r>
          </w:p>
        </w:tc>
        <w:tc>
          <w:tcPr>
            <w:tcW w:w="1850" w:type="dxa"/>
            <w:noWrap/>
          </w:tcPr>
          <w:p w14:paraId="5B7527BE" w14:textId="4532B836" w:rsidR="0083520F" w:rsidRPr="00BC0FAE" w:rsidRDefault="008352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30" w:history="1">
              <w:r w:rsidRPr="00BC0FAE">
                <w:rPr>
                  <w:rStyle w:val="Hyperlink"/>
                  <w:rFonts w:cstheme="minorHAnsi"/>
                  <w:sz w:val="20"/>
                  <w:szCs w:val="20"/>
                </w:rPr>
                <w:t>Interventions for increasing the use of shared decision making by healthcare professionals</w:t>
              </w:r>
            </w:hyperlink>
          </w:p>
        </w:tc>
        <w:tc>
          <w:tcPr>
            <w:tcW w:w="9090" w:type="dxa"/>
            <w:noWrap/>
          </w:tcPr>
          <w:p w14:paraId="38828C2D" w14:textId="52A07A95" w:rsidR="0083520F" w:rsidRPr="00BC0FAE" w:rsidRDefault="0083520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0FAE">
              <w:rPr>
                <w:rFonts w:cstheme="minorHAnsi"/>
                <w:sz w:val="18"/>
                <w:szCs w:val="18"/>
              </w:rPr>
              <w:t>We included 87 studies (45,641 patients and 3113 healthcare professionals) conducted mainly in the USA, Germany, Canada and the Netherlands. Risk of bias was high or unclear for protection against contamination, low for differences in the baseline characteristics of patients, and unclear for other domains.</w:t>
            </w:r>
            <w:r w:rsidRPr="00BC0FAE">
              <w:rPr>
                <w:sz w:val="18"/>
                <w:szCs w:val="18"/>
              </w:rPr>
              <w:t xml:space="preserve"> </w:t>
            </w:r>
            <w:r w:rsidRPr="00BC0FAE">
              <w:rPr>
                <w:rFonts w:cstheme="minorHAnsi"/>
                <w:sz w:val="18"/>
                <w:szCs w:val="18"/>
              </w:rPr>
              <w:t xml:space="preserve">Forty‐four studies evaluated interventions targeting patients. They included decision aids, patient activation, question prompt lists and training for patients among others and were administered alone (single intervention) or in combination (multifaceted intervention). The certainty of the evidence was very low. It is uncertain if interventions targeting patients when compared with usual care increase SDM whether measured by observation. Fifteen studies evaluated interventions targeting healthcare professionals. They included educational meetings, educational material, educational outreach visits and reminders among others. The certainty of evidence is very low. It is uncertain if these interventions when compared with usual care increase SDM whether measured by observation. Twenty‐eight studies targeted both patients and healthcare professionals. The interventions used a combination of patient‐mediated and healthcare professional directed interventions. Based on low certainty evidence, it is uncertain whether these interventions, when compared with usual care, increase SDM whether measured by observation. </w:t>
            </w:r>
          </w:p>
        </w:tc>
      </w:tr>
      <w:tr w:rsidR="0083520F" w:rsidRPr="00BC0FAE" w14:paraId="7EB45E40" w14:textId="77777777" w:rsidTr="00BC0FAE">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0AA18983" w14:textId="77777777" w:rsidR="0083520F" w:rsidRPr="00BC0FAE" w:rsidRDefault="0083520F">
            <w:pPr>
              <w:rPr>
                <w:rFonts w:cstheme="minorHAnsi"/>
                <w:b w:val="0"/>
                <w:i/>
                <w:iCs/>
                <w:sz w:val="20"/>
                <w:szCs w:val="20"/>
              </w:rPr>
            </w:pPr>
          </w:p>
        </w:tc>
        <w:tc>
          <w:tcPr>
            <w:tcW w:w="855" w:type="dxa"/>
            <w:noWrap/>
          </w:tcPr>
          <w:p w14:paraId="72252FA5" w14:textId="718B98D7" w:rsidR="0083520F" w:rsidRPr="00BC0FAE" w:rsidRDefault="008352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C0FAE">
              <w:rPr>
                <w:rFonts w:cstheme="minorHAnsi"/>
                <w:sz w:val="20"/>
                <w:szCs w:val="20"/>
              </w:rPr>
              <w:t>2017</w:t>
            </w:r>
          </w:p>
        </w:tc>
        <w:tc>
          <w:tcPr>
            <w:tcW w:w="1850" w:type="dxa"/>
            <w:noWrap/>
          </w:tcPr>
          <w:p w14:paraId="338CCE18" w14:textId="331C05D9" w:rsidR="0083520F" w:rsidRPr="00BC0FAE" w:rsidRDefault="0083520F">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31" w:history="1">
              <w:r w:rsidRPr="00BC0FAE">
                <w:rPr>
                  <w:rStyle w:val="Hyperlink"/>
                  <w:sz w:val="20"/>
                  <w:szCs w:val="20"/>
                </w:rPr>
                <w:t>Shared decision‐making for people with asthma</w:t>
              </w:r>
            </w:hyperlink>
          </w:p>
        </w:tc>
        <w:tc>
          <w:tcPr>
            <w:tcW w:w="9090" w:type="dxa"/>
            <w:noWrap/>
          </w:tcPr>
          <w:p w14:paraId="3BCB3B72" w14:textId="361508BE" w:rsidR="0083520F" w:rsidRPr="00BC0FAE" w:rsidRDefault="0083520F">
            <w:pPr>
              <w:cnfStyle w:val="000000000000" w:firstRow="0" w:lastRow="0" w:firstColumn="0" w:lastColumn="0" w:oddVBand="0" w:evenVBand="0" w:oddHBand="0" w:evenHBand="0" w:firstRowFirstColumn="0" w:firstRowLastColumn="0" w:lastRowFirstColumn="0" w:lastRowLastColumn="0"/>
              <w:rPr>
                <w:sz w:val="18"/>
                <w:szCs w:val="18"/>
              </w:rPr>
            </w:pPr>
            <w:r w:rsidRPr="00BC0FAE">
              <w:rPr>
                <w:sz w:val="18"/>
                <w:szCs w:val="18"/>
              </w:rPr>
              <w:t>Substantial differences between the four included randomised controlled trials (RCTs) indicate that we cannot provide meaningful overall conclusions. Individual studies demonstrated some benefits of SDM over control, in terms of quality of life; patient and parent satisfaction; adherence to prescribed medication; reduction in asthma‐related healthcare visits; and improved asthma control. Our confidence in the findings of these individual studies ranges from moderate to very low, and it is important to note that studies did not measure or report adverse events.</w:t>
            </w:r>
          </w:p>
        </w:tc>
      </w:tr>
      <w:tr w:rsidR="0083520F" w:rsidRPr="00BC0FAE" w14:paraId="690E9B33" w14:textId="77777777" w:rsidTr="00BC0F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890B548" w14:textId="77777777" w:rsidR="0083520F" w:rsidRPr="00BC0FAE" w:rsidRDefault="0083520F">
            <w:pPr>
              <w:rPr>
                <w:rFonts w:cstheme="minorHAnsi"/>
                <w:b w:val="0"/>
                <w:i/>
                <w:iCs/>
                <w:sz w:val="20"/>
                <w:szCs w:val="20"/>
              </w:rPr>
            </w:pPr>
          </w:p>
        </w:tc>
        <w:tc>
          <w:tcPr>
            <w:tcW w:w="855" w:type="dxa"/>
            <w:noWrap/>
          </w:tcPr>
          <w:p w14:paraId="12878B10" w14:textId="5FFD3ADC" w:rsidR="0083520F" w:rsidRPr="00BC0FAE" w:rsidRDefault="008352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C0FAE">
              <w:rPr>
                <w:rFonts w:cstheme="minorHAnsi"/>
                <w:sz w:val="20"/>
                <w:szCs w:val="20"/>
              </w:rPr>
              <w:t>2010</w:t>
            </w:r>
          </w:p>
        </w:tc>
        <w:tc>
          <w:tcPr>
            <w:tcW w:w="1850" w:type="dxa"/>
            <w:noWrap/>
          </w:tcPr>
          <w:p w14:paraId="00AE3C8D" w14:textId="20023971" w:rsidR="0083520F" w:rsidRPr="00BC0FAE" w:rsidRDefault="008352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32" w:history="1">
              <w:r w:rsidRPr="00BC0FAE">
                <w:rPr>
                  <w:rStyle w:val="Hyperlink"/>
                  <w:rFonts w:cstheme="minorHAnsi"/>
                  <w:sz w:val="20"/>
                  <w:szCs w:val="20"/>
                </w:rPr>
                <w:t>Shared decision making interventions for people with mental health conditions</w:t>
              </w:r>
            </w:hyperlink>
          </w:p>
        </w:tc>
        <w:tc>
          <w:tcPr>
            <w:tcW w:w="9090" w:type="dxa"/>
            <w:noWrap/>
          </w:tcPr>
          <w:p w14:paraId="375593A9" w14:textId="60DCEEBF" w:rsidR="0083520F" w:rsidRPr="00BC0FAE" w:rsidRDefault="0083520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0FAE">
              <w:rPr>
                <w:rFonts w:cstheme="minorHAnsi"/>
                <w:sz w:val="18"/>
                <w:szCs w:val="18"/>
              </w:rPr>
              <w:t>We included two separate German studies involving a total of 518 participants. One study was undertaken in the inpatient treatment of schizophrenia and the other in the treatment of people newly diagnosed with depression in primary care. Regarding the primary outcomes, one study reported statistically significant increases in patient satisfaction, the other study did not. There was no evidence of effect on clinical outcomes or hospital readmission rates in either study. Regarding secondary outcomes, there was an indication that interventions to increase shared decision making increased doctor facilitation of patient involvement in decision making, and did not increase consultation times. Nor did the interventions increase patient compliance with treatment plans. Neither study reported any harms of the intervention. Definite conclusions cannot be drawn, however, on the basis of these two studies.</w:t>
            </w:r>
          </w:p>
        </w:tc>
      </w:tr>
      <w:tr w:rsidR="0083520F" w:rsidRPr="00BC0FAE" w14:paraId="0716C741" w14:textId="77777777" w:rsidTr="00BC0FAE">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7064F2E7" w14:textId="77777777" w:rsidR="0083520F" w:rsidRPr="00BC0FAE" w:rsidRDefault="0083520F">
            <w:pPr>
              <w:rPr>
                <w:rFonts w:cstheme="minorHAnsi"/>
                <w:b w:val="0"/>
                <w:i/>
                <w:iCs/>
                <w:sz w:val="20"/>
                <w:szCs w:val="20"/>
              </w:rPr>
            </w:pPr>
          </w:p>
        </w:tc>
        <w:tc>
          <w:tcPr>
            <w:tcW w:w="855" w:type="dxa"/>
            <w:noWrap/>
          </w:tcPr>
          <w:p w14:paraId="6BC78007" w14:textId="7797BD30" w:rsidR="0083520F" w:rsidRPr="00BC0FAE" w:rsidRDefault="008352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C0FAE">
              <w:rPr>
                <w:rFonts w:cstheme="minorHAnsi"/>
                <w:sz w:val="20"/>
                <w:szCs w:val="20"/>
              </w:rPr>
              <w:t>2016 (update of 2013)</w:t>
            </w:r>
          </w:p>
        </w:tc>
        <w:tc>
          <w:tcPr>
            <w:tcW w:w="1850" w:type="dxa"/>
            <w:noWrap/>
          </w:tcPr>
          <w:p w14:paraId="696C83F7" w14:textId="7BA1571C" w:rsidR="0083520F" w:rsidRPr="00BC0FAE" w:rsidRDefault="0083520F">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33" w:history="1">
              <w:r w:rsidRPr="00BC0FAE">
                <w:rPr>
                  <w:rStyle w:val="Hyperlink"/>
                  <w:sz w:val="20"/>
                  <w:szCs w:val="20"/>
                </w:rPr>
                <w:t>Interventions for promoting participation in shared decision‐making for children with cancer</w:t>
              </w:r>
            </w:hyperlink>
            <w:r w:rsidRPr="00BC0FAE">
              <w:rPr>
                <w:rStyle w:val="Hyperlink"/>
                <w:sz w:val="20"/>
                <w:szCs w:val="20"/>
              </w:rPr>
              <w:t xml:space="preserve"> </w:t>
            </w:r>
          </w:p>
        </w:tc>
        <w:tc>
          <w:tcPr>
            <w:tcW w:w="9090" w:type="dxa"/>
            <w:noWrap/>
          </w:tcPr>
          <w:p w14:paraId="030F9012" w14:textId="008D127B" w:rsidR="0083520F" w:rsidRPr="00BC0FAE" w:rsidRDefault="0083520F">
            <w:pPr>
              <w:cnfStyle w:val="000000000000" w:firstRow="0" w:lastRow="0" w:firstColumn="0" w:lastColumn="0" w:oddVBand="0" w:evenVBand="0" w:oddHBand="0" w:evenHBand="0" w:firstRowFirstColumn="0" w:firstRowLastColumn="0" w:lastRowFirstColumn="0" w:lastRowLastColumn="0"/>
              <w:rPr>
                <w:sz w:val="18"/>
                <w:szCs w:val="18"/>
              </w:rPr>
            </w:pPr>
            <w:r w:rsidRPr="00BC0FAE">
              <w:rPr>
                <w:sz w:val="18"/>
                <w:szCs w:val="18"/>
              </w:rPr>
              <w:t>No conclusions can be made on the effects of interventions to promote SDM for children with cancer aged four to 18 years. This review has highlighted the dearth of high‐quality quantitative research on interventions to promote participation in SDM for children with cancer.</w:t>
            </w:r>
          </w:p>
        </w:tc>
      </w:tr>
      <w:tr w:rsidR="0083520F" w:rsidRPr="00BC0FAE" w14:paraId="081FD77C" w14:textId="77777777" w:rsidTr="00BC0F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0FE6AB63" w14:textId="77777777" w:rsidR="0083520F" w:rsidRPr="00BC0FAE" w:rsidRDefault="0083520F">
            <w:pPr>
              <w:rPr>
                <w:rFonts w:cstheme="minorHAnsi"/>
                <w:b w:val="0"/>
                <w:i/>
                <w:iCs/>
                <w:sz w:val="20"/>
                <w:szCs w:val="20"/>
              </w:rPr>
            </w:pPr>
          </w:p>
        </w:tc>
        <w:tc>
          <w:tcPr>
            <w:tcW w:w="855" w:type="dxa"/>
            <w:noWrap/>
          </w:tcPr>
          <w:p w14:paraId="1F49A3DD" w14:textId="5C6DA1D9" w:rsidR="0083520F" w:rsidRPr="00BC0FAE" w:rsidRDefault="008352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C0FAE">
              <w:rPr>
                <w:rFonts w:cstheme="minorHAnsi"/>
                <w:sz w:val="20"/>
                <w:szCs w:val="20"/>
              </w:rPr>
              <w:t>2015</w:t>
            </w:r>
          </w:p>
        </w:tc>
        <w:tc>
          <w:tcPr>
            <w:tcW w:w="1850" w:type="dxa"/>
            <w:noWrap/>
          </w:tcPr>
          <w:p w14:paraId="54C48E03" w14:textId="67D7895D" w:rsidR="0083520F" w:rsidRPr="00BC0FAE" w:rsidRDefault="0083520F">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34" w:history="1">
              <w:r w:rsidRPr="00BC0FAE">
                <w:rPr>
                  <w:rStyle w:val="Hyperlink"/>
                  <w:sz w:val="20"/>
                  <w:szCs w:val="20"/>
                </w:rPr>
                <w:t>Interventions to facilitate shared decision making to address antibiotic use for acute respiratory infections in primary care</w:t>
              </w:r>
            </w:hyperlink>
          </w:p>
        </w:tc>
        <w:tc>
          <w:tcPr>
            <w:tcW w:w="9090" w:type="dxa"/>
            <w:noWrap/>
          </w:tcPr>
          <w:p w14:paraId="1388F4B1" w14:textId="63B130C6" w:rsidR="0083520F" w:rsidRPr="00BC0FAE" w:rsidRDefault="0083520F">
            <w:pPr>
              <w:cnfStyle w:val="000000100000" w:firstRow="0" w:lastRow="0" w:firstColumn="0" w:lastColumn="0" w:oddVBand="0" w:evenVBand="0" w:oddHBand="1" w:evenHBand="0" w:firstRowFirstColumn="0" w:firstRowLastColumn="0" w:lastRowFirstColumn="0" w:lastRowLastColumn="0"/>
              <w:rPr>
                <w:sz w:val="18"/>
                <w:szCs w:val="18"/>
              </w:rPr>
            </w:pPr>
            <w:r w:rsidRPr="00BC0FAE">
              <w:rPr>
                <w:sz w:val="18"/>
                <w:szCs w:val="18"/>
              </w:rPr>
              <w:t>We identified 10 published reports of nine original RCTs (one report was a long‐term follow‐up of the original trial) in over 1100 primary care doctors and around 492,000 patients. Interventions that aim to facilitate shared decision making reduce antibiotic prescribing in primary care in the short term. Effects on longer‐term rates of prescribing are uncertain and more evidence is needed to determine how any sustained reduction in antibiotic prescribing affects hospital admission, pneumonia and death.</w:t>
            </w:r>
          </w:p>
        </w:tc>
      </w:tr>
      <w:tr w:rsidR="0083520F" w:rsidRPr="00BC0FAE" w14:paraId="44B83393" w14:textId="77777777" w:rsidTr="00BC0FAE">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489A77D4" w14:textId="77777777" w:rsidR="0083520F" w:rsidRPr="00BC0FAE" w:rsidRDefault="0083520F">
            <w:pPr>
              <w:rPr>
                <w:rFonts w:cstheme="minorHAnsi"/>
                <w:b w:val="0"/>
                <w:i/>
                <w:iCs/>
                <w:sz w:val="20"/>
                <w:szCs w:val="20"/>
              </w:rPr>
            </w:pPr>
          </w:p>
        </w:tc>
        <w:tc>
          <w:tcPr>
            <w:tcW w:w="855" w:type="dxa"/>
            <w:noWrap/>
          </w:tcPr>
          <w:p w14:paraId="68F3DA4D" w14:textId="1FA906DB" w:rsidR="0083520F" w:rsidRPr="00BC0FAE" w:rsidRDefault="008352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C0FAE">
              <w:rPr>
                <w:rFonts w:cstheme="minorHAnsi"/>
                <w:sz w:val="20"/>
                <w:szCs w:val="20"/>
              </w:rPr>
              <w:t>2013</w:t>
            </w:r>
          </w:p>
        </w:tc>
        <w:tc>
          <w:tcPr>
            <w:tcW w:w="1850" w:type="dxa"/>
            <w:noWrap/>
          </w:tcPr>
          <w:p w14:paraId="2C2CC42B" w14:textId="2605AC5D" w:rsidR="0083520F" w:rsidRPr="00BC0FAE" w:rsidRDefault="0083520F">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35" w:history="1">
              <w:r w:rsidRPr="00BC0FAE">
                <w:rPr>
                  <w:rStyle w:val="Hyperlink"/>
                  <w:sz w:val="20"/>
                  <w:szCs w:val="20"/>
                </w:rPr>
                <w:t>Interventions for supporting pregnant women's decision‐making about mode of birth after a caesarean</w:t>
              </w:r>
            </w:hyperlink>
          </w:p>
        </w:tc>
        <w:tc>
          <w:tcPr>
            <w:tcW w:w="9090" w:type="dxa"/>
            <w:noWrap/>
          </w:tcPr>
          <w:p w14:paraId="49010102" w14:textId="7A80DDF5" w:rsidR="0083520F" w:rsidRPr="00BC0FAE" w:rsidRDefault="0083520F" w:rsidP="0083520F">
            <w:pPr>
              <w:cnfStyle w:val="000000000000" w:firstRow="0" w:lastRow="0" w:firstColumn="0" w:lastColumn="0" w:oddVBand="0" w:evenVBand="0" w:oddHBand="0" w:evenHBand="0" w:firstRowFirstColumn="0" w:firstRowLastColumn="0" w:lastRowFirstColumn="0" w:lastRowLastColumn="0"/>
              <w:rPr>
                <w:sz w:val="18"/>
                <w:szCs w:val="18"/>
              </w:rPr>
            </w:pPr>
            <w:r w:rsidRPr="00BC0FAE">
              <w:rPr>
                <w:sz w:val="18"/>
                <w:szCs w:val="18"/>
              </w:rPr>
              <w:t>Three randomised controlled trials involving 2270 women from high‐income countries were eligible for inclusion in the review. We found no difference in planned mode of birth: VBAC (risk ratio (RR) 1.03, 95% confidence interval (CI) 0.97 to 1.10; I² = 0%) or caesarean birth (RR 0.96, 95% CI 0.84 to 1.10; I² = 0%). The proportion of women unsure about preference did not change (RR 0.87, 95% CI 0.62 to 1.20; I² = 0%). There was no difference in adverse outcomes reported between intervention and control groups (one trial, 1275 women/1280 babies): permanent (RR 0.66, 95% CI 0.32 to 1.36); severe (RR 1.02, 95% CI 0.77 to 1.36); unclear (0.66, 95% CI 0.27, 1.61). Decisional conflict about preferred mode of birth was lower (less uncertainty) for women with decisional support. There was also a significant increase in knowledge among women with decision support compared with those in the control group. Evidence is limited to independent and mediated decision supports.</w:t>
            </w:r>
          </w:p>
        </w:tc>
      </w:tr>
      <w:tr w:rsidR="0083520F" w:rsidRPr="00BC0FAE" w14:paraId="7DC4095C" w14:textId="77777777" w:rsidTr="00BC0F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99F7414" w14:textId="77777777" w:rsidR="0083520F" w:rsidRPr="00BC0FAE" w:rsidRDefault="0083520F">
            <w:pPr>
              <w:rPr>
                <w:rFonts w:cstheme="minorHAnsi"/>
                <w:b w:val="0"/>
                <w:i/>
                <w:iCs/>
                <w:sz w:val="20"/>
                <w:szCs w:val="20"/>
              </w:rPr>
            </w:pPr>
          </w:p>
        </w:tc>
        <w:tc>
          <w:tcPr>
            <w:tcW w:w="855" w:type="dxa"/>
            <w:noWrap/>
          </w:tcPr>
          <w:p w14:paraId="25350FC4" w14:textId="3CCFFC50" w:rsidR="0083520F" w:rsidRPr="00BC0FAE" w:rsidRDefault="008352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C0FAE">
              <w:rPr>
                <w:rFonts w:cstheme="minorHAnsi"/>
                <w:sz w:val="20"/>
                <w:szCs w:val="20"/>
              </w:rPr>
              <w:t>2012</w:t>
            </w:r>
          </w:p>
        </w:tc>
        <w:tc>
          <w:tcPr>
            <w:tcW w:w="1850" w:type="dxa"/>
            <w:noWrap/>
          </w:tcPr>
          <w:p w14:paraId="4BEE34D9" w14:textId="35D5A3B8" w:rsidR="0083520F" w:rsidRPr="00BC0FAE" w:rsidRDefault="008352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36" w:history="1">
              <w:r w:rsidRPr="00BC0FAE">
                <w:rPr>
                  <w:rStyle w:val="Hyperlink"/>
                  <w:rFonts w:cstheme="minorHAnsi"/>
                  <w:sz w:val="20"/>
                  <w:szCs w:val="20"/>
                </w:rPr>
                <w:t>Interventions for providers to promote a patient‐centred approach in clinical consultations</w:t>
              </w:r>
            </w:hyperlink>
          </w:p>
        </w:tc>
        <w:tc>
          <w:tcPr>
            <w:tcW w:w="9090" w:type="dxa"/>
            <w:noWrap/>
          </w:tcPr>
          <w:p w14:paraId="0C6E47C5" w14:textId="6B98A72A" w:rsidR="0083520F" w:rsidRPr="00BC0FAE" w:rsidRDefault="0083520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0FAE">
              <w:rPr>
                <w:rFonts w:cstheme="minorHAnsi"/>
                <w:sz w:val="18"/>
                <w:szCs w:val="18"/>
              </w:rPr>
              <w:t>Forty‐three randomized trials met the inclusion criteria, of which 29 are new in this update. In most of the studies, training interventions were directed at primary care physicians (general practitioners, internists, paediatricians or family doctors) or nurses practising in community or hospital outpatient settings. Some studies trained specialists. Patients were predominantly adults with general medical problems, though two studies included children with asthma.</w:t>
            </w:r>
            <w:r w:rsidRPr="00BC0FAE">
              <w:rPr>
                <w:sz w:val="18"/>
                <w:szCs w:val="18"/>
              </w:rPr>
              <w:t xml:space="preserve"> </w:t>
            </w:r>
            <w:r w:rsidRPr="00BC0FAE">
              <w:rPr>
                <w:rFonts w:cstheme="minorHAnsi"/>
                <w:sz w:val="18"/>
                <w:szCs w:val="18"/>
              </w:rPr>
              <w:t>Interventions to promote patient‐centred care within clinical consultations are effective across studies in transferring patient‐centred skills to providers. However the effects on patient satisfaction, health behaviour and health status are mixed. There is some indication that complex interventions directed at providers and patients that include condition‐specific educational materials have beneficial effects on health behaviour and health status, outcomes not assessed in studies reviewed previously.</w:t>
            </w:r>
          </w:p>
        </w:tc>
      </w:tr>
      <w:tr w:rsidR="0083520F" w:rsidRPr="00BC0FAE" w14:paraId="3E597FCE" w14:textId="77777777" w:rsidTr="00BC0FAE">
        <w:trPr>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64A8027C" w14:textId="77777777" w:rsidR="0083520F" w:rsidRPr="00BC0FAE" w:rsidRDefault="0083520F">
            <w:pPr>
              <w:rPr>
                <w:rFonts w:cstheme="minorHAnsi"/>
                <w:b w:val="0"/>
                <w:i/>
                <w:iCs/>
                <w:sz w:val="20"/>
                <w:szCs w:val="20"/>
              </w:rPr>
            </w:pPr>
          </w:p>
        </w:tc>
        <w:tc>
          <w:tcPr>
            <w:tcW w:w="855" w:type="dxa"/>
            <w:noWrap/>
          </w:tcPr>
          <w:p w14:paraId="1C7436D3" w14:textId="5A51F290" w:rsidR="0083520F" w:rsidRPr="00BC0FAE" w:rsidRDefault="0083520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C0FAE">
              <w:rPr>
                <w:rFonts w:cstheme="minorHAnsi"/>
                <w:sz w:val="20"/>
                <w:szCs w:val="20"/>
              </w:rPr>
              <w:t>2017</w:t>
            </w:r>
          </w:p>
        </w:tc>
        <w:tc>
          <w:tcPr>
            <w:tcW w:w="1850" w:type="dxa"/>
            <w:noWrap/>
          </w:tcPr>
          <w:p w14:paraId="7EBE2DC4" w14:textId="474BDEA1" w:rsidR="0083520F" w:rsidRPr="00BC0FAE" w:rsidRDefault="0083520F">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37" w:history="1">
              <w:r w:rsidRPr="00BC0FAE">
                <w:rPr>
                  <w:rStyle w:val="Hyperlink"/>
                  <w:sz w:val="20"/>
                  <w:szCs w:val="20"/>
                </w:rPr>
                <w:t>Clinician‐targeted interventions to influence antibiotic prescribing behaviour for acute respiratory infections in primary care: an overview of systematic reviews</w:t>
              </w:r>
            </w:hyperlink>
          </w:p>
        </w:tc>
        <w:tc>
          <w:tcPr>
            <w:tcW w:w="9090" w:type="dxa"/>
            <w:noWrap/>
          </w:tcPr>
          <w:p w14:paraId="60EEA5BF" w14:textId="0AF2F41A" w:rsidR="0083520F" w:rsidRPr="00BC0FAE" w:rsidRDefault="0083520F" w:rsidP="0083520F">
            <w:pPr>
              <w:cnfStyle w:val="000000000000" w:firstRow="0" w:lastRow="0" w:firstColumn="0" w:lastColumn="0" w:oddVBand="0" w:evenVBand="0" w:oddHBand="0" w:evenHBand="0" w:firstRowFirstColumn="0" w:firstRowLastColumn="0" w:lastRowFirstColumn="0" w:lastRowLastColumn="0"/>
              <w:rPr>
                <w:sz w:val="18"/>
                <w:szCs w:val="18"/>
              </w:rPr>
            </w:pPr>
            <w:r w:rsidRPr="00BC0FAE">
              <w:rPr>
                <w:sz w:val="18"/>
                <w:szCs w:val="18"/>
              </w:rPr>
              <w:t xml:space="preserve">We included eight reviews in this overview: five Cochrane Reviews (33 included trials) and three non‐Cochrane reviews (11 included trials). </w:t>
            </w:r>
            <w:r w:rsidRPr="00BC0FAE">
              <w:rPr>
                <w:sz w:val="18"/>
                <w:szCs w:val="18"/>
              </w:rPr>
              <w:t>We found evidence that CRP testing, shared decision making, and procalcitonin‐guided management reduce antibiotic prescribing for patients with ARIs in primary care. These interventions may therefore reduce overall antibiotic consumption and consequently antibiotic resistance. There do not appear to be negative effects of these interventions on the outcomes of patient satisfaction and reconsultation, although there was limited measurement of these outcomes in the trials. This should be rectified in future trials.</w:t>
            </w:r>
            <w:r w:rsidRPr="00BC0FAE">
              <w:rPr>
                <w:sz w:val="18"/>
                <w:szCs w:val="18"/>
              </w:rPr>
              <w:t xml:space="preserve"> </w:t>
            </w:r>
            <w:r w:rsidRPr="00BC0FAE">
              <w:rPr>
                <w:sz w:val="18"/>
                <w:szCs w:val="18"/>
              </w:rPr>
              <w:t>We could gather no information about the costs of management, and this along with the paucity of measurements meant that it was difficult to weigh the benefits and costs of implementing these interventions in practice.</w:t>
            </w:r>
          </w:p>
        </w:tc>
      </w:tr>
      <w:tr w:rsidR="0083520F" w:rsidRPr="00BC0FAE" w14:paraId="4857B465" w14:textId="77777777" w:rsidTr="00BC0F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0A88DF80" w14:textId="77777777" w:rsidR="0083520F" w:rsidRPr="00BC0FAE" w:rsidRDefault="0083520F">
            <w:pPr>
              <w:rPr>
                <w:rFonts w:cstheme="minorHAnsi"/>
                <w:b w:val="0"/>
                <w:i/>
                <w:iCs/>
                <w:sz w:val="20"/>
                <w:szCs w:val="20"/>
              </w:rPr>
            </w:pPr>
          </w:p>
        </w:tc>
        <w:tc>
          <w:tcPr>
            <w:tcW w:w="855" w:type="dxa"/>
            <w:noWrap/>
          </w:tcPr>
          <w:p w14:paraId="3FF2E6ED" w14:textId="258B3CA0" w:rsidR="0083520F" w:rsidRPr="00BC0FAE" w:rsidRDefault="0083520F">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C0FAE">
              <w:rPr>
                <w:rFonts w:cstheme="minorHAnsi"/>
                <w:sz w:val="20"/>
                <w:szCs w:val="20"/>
              </w:rPr>
              <w:t>2016</w:t>
            </w:r>
          </w:p>
        </w:tc>
        <w:tc>
          <w:tcPr>
            <w:tcW w:w="1850" w:type="dxa"/>
            <w:noWrap/>
          </w:tcPr>
          <w:p w14:paraId="4A43A852" w14:textId="61152B1F" w:rsidR="0083520F" w:rsidRPr="00BC0FAE" w:rsidRDefault="0083520F">
            <w:pPr>
              <w:cnfStyle w:val="000000100000" w:firstRow="0" w:lastRow="0" w:firstColumn="0" w:lastColumn="0" w:oddVBand="0" w:evenVBand="0" w:oddHBand="1" w:evenHBand="0" w:firstRowFirstColumn="0" w:firstRowLastColumn="0" w:lastRowFirstColumn="0" w:lastRowLastColumn="0"/>
              <w:rPr>
                <w:rStyle w:val="Hyperlink"/>
                <w:sz w:val="20"/>
                <w:szCs w:val="20"/>
              </w:rPr>
            </w:pPr>
            <w:hyperlink r:id="rId38" w:history="1">
              <w:r w:rsidRPr="00BC0FAE">
                <w:rPr>
                  <w:rStyle w:val="Hyperlink"/>
                  <w:sz w:val="20"/>
                  <w:szCs w:val="20"/>
                </w:rPr>
                <w:t>Implementation of treatment guidelines for specialist mental health care</w:t>
              </w:r>
            </w:hyperlink>
          </w:p>
        </w:tc>
        <w:tc>
          <w:tcPr>
            <w:tcW w:w="9090" w:type="dxa"/>
            <w:noWrap/>
          </w:tcPr>
          <w:p w14:paraId="209D29C2" w14:textId="5E810BCA" w:rsidR="0083520F" w:rsidRPr="00BC0FAE" w:rsidRDefault="0083520F">
            <w:pPr>
              <w:cnfStyle w:val="000000100000" w:firstRow="0" w:lastRow="0" w:firstColumn="0" w:lastColumn="0" w:oddVBand="0" w:evenVBand="0" w:oddHBand="1" w:evenHBand="0" w:firstRowFirstColumn="0" w:firstRowLastColumn="0" w:lastRowFirstColumn="0" w:lastRowLastColumn="0"/>
              <w:rPr>
                <w:sz w:val="18"/>
                <w:szCs w:val="18"/>
              </w:rPr>
            </w:pPr>
            <w:r w:rsidRPr="00BC0FAE">
              <w:rPr>
                <w:sz w:val="18"/>
                <w:szCs w:val="18"/>
              </w:rPr>
              <w:t>This review now includes six studies, with a total of 1727 participants. Regarding participant outcomes, only one trial assessed the efficacy of a shared decision‐making implementation strategy and found no impact on psychopathology, satisfaction with care, or drug attitude.</w:t>
            </w:r>
          </w:p>
        </w:tc>
      </w:tr>
      <w:tr w:rsidR="005A0824" w:rsidRPr="00BC0FAE" w14:paraId="60607234" w14:textId="77777777" w:rsidTr="00BC0FAE">
        <w:trPr>
          <w:trHeight w:val="1700"/>
        </w:trPr>
        <w:tc>
          <w:tcPr>
            <w:cnfStyle w:val="001000000000" w:firstRow="0" w:lastRow="0" w:firstColumn="1" w:lastColumn="0" w:oddVBand="0" w:evenVBand="0" w:oddHBand="0" w:evenHBand="0" w:firstRowFirstColumn="0" w:firstRowLastColumn="0" w:lastRowFirstColumn="0" w:lastRowLastColumn="0"/>
            <w:tcW w:w="1428" w:type="dxa"/>
            <w:vMerge w:val="restart"/>
          </w:tcPr>
          <w:p w14:paraId="117F02F2" w14:textId="62B26090" w:rsidR="005A0824" w:rsidRPr="009568AA" w:rsidRDefault="005A0824" w:rsidP="00A27C39">
            <w:pPr>
              <w:rPr>
                <w:rFonts w:cstheme="minorHAnsi"/>
                <w:b w:val="0"/>
                <w:i/>
                <w:sz w:val="20"/>
                <w:szCs w:val="20"/>
              </w:rPr>
            </w:pPr>
            <w:r w:rsidRPr="009568AA">
              <w:rPr>
                <w:rFonts w:cstheme="minorHAnsi"/>
                <w:b w:val="0"/>
                <w:i/>
                <w:sz w:val="20"/>
                <w:szCs w:val="20"/>
              </w:rPr>
              <w:t>BMC</w:t>
            </w:r>
          </w:p>
        </w:tc>
        <w:tc>
          <w:tcPr>
            <w:tcW w:w="855" w:type="dxa"/>
          </w:tcPr>
          <w:p w14:paraId="50A0C2FF" w14:textId="6F0A110D" w:rsidR="005A0824" w:rsidRDefault="005A0824">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rPr>
            </w:pPr>
            <w:r>
              <w:rPr>
                <w:rFonts w:ascii="Calibri" w:hAnsi="Calibri" w:cstheme="minorHAnsi"/>
                <w:sz w:val="20"/>
                <w:szCs w:val="20"/>
              </w:rPr>
              <w:t>2018</w:t>
            </w:r>
          </w:p>
        </w:tc>
        <w:tc>
          <w:tcPr>
            <w:tcW w:w="1850" w:type="dxa"/>
          </w:tcPr>
          <w:p w14:paraId="42659C9C" w14:textId="13631B4C" w:rsidR="005A0824" w:rsidRPr="005A0824" w:rsidRDefault="005A0824" w:rsidP="005A0824">
            <w:pPr>
              <w:spacing w:after="160" w:line="259" w:lineRule="auto"/>
              <w:cnfStyle w:val="000000000000" w:firstRow="0" w:lastRow="0" w:firstColumn="0" w:lastColumn="0" w:oddVBand="0" w:evenVBand="0" w:oddHBand="0" w:evenHBand="0" w:firstRowFirstColumn="0" w:firstRowLastColumn="0" w:lastRowFirstColumn="0" w:lastRowLastColumn="0"/>
              <w:rPr>
                <w:sz w:val="20"/>
                <w:szCs w:val="20"/>
              </w:rPr>
            </w:pPr>
            <w:hyperlink r:id="rId39" w:history="1">
              <w:r w:rsidRPr="005A0824">
                <w:rPr>
                  <w:color w:val="0563C1" w:themeColor="hyperlink"/>
                  <w:sz w:val="20"/>
                  <w:szCs w:val="20"/>
                  <w:u w:val="single"/>
                </w:rPr>
                <w:t>The effects of shared decision-making compared to usual care for prostate cancer screening decisions: a systematic review and meta-analysis</w:t>
              </w:r>
            </w:hyperlink>
          </w:p>
        </w:tc>
        <w:tc>
          <w:tcPr>
            <w:tcW w:w="9090" w:type="dxa"/>
          </w:tcPr>
          <w:p w14:paraId="4F35DCB2" w14:textId="66D5DE8E" w:rsidR="005A0824" w:rsidRPr="009568AA" w:rsidRDefault="005A082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5A0824">
              <w:rPr>
                <w:rFonts w:cstheme="minorHAnsi"/>
                <w:sz w:val="18"/>
                <w:szCs w:val="18"/>
              </w:rPr>
              <w:t>Shared decision-making (SDM) is recommended for men facing prostate cancer (PC) screening decisions. We synthesize the evidence on the comparative effectiveness of SDM with usual care. We searched academic and grey literature databases, and other sources for primary randomized controlled trials (RCTs) published in English comparing SDM to usual care and conducted in primary and specialized care.</w:t>
            </w:r>
          </w:p>
        </w:tc>
      </w:tr>
      <w:tr w:rsidR="005A0824" w:rsidRPr="00BC0FAE" w14:paraId="378EFAC2" w14:textId="77777777" w:rsidTr="00BC0FAE">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1428" w:type="dxa"/>
            <w:vMerge/>
          </w:tcPr>
          <w:p w14:paraId="24177B89" w14:textId="74CC7506" w:rsidR="005A0824" w:rsidRPr="009568AA" w:rsidRDefault="005A0824" w:rsidP="00A27C39">
            <w:pPr>
              <w:rPr>
                <w:rFonts w:cstheme="minorHAnsi"/>
                <w:b w:val="0"/>
                <w:i/>
                <w:sz w:val="20"/>
                <w:szCs w:val="20"/>
              </w:rPr>
            </w:pPr>
          </w:p>
        </w:tc>
        <w:tc>
          <w:tcPr>
            <w:tcW w:w="855" w:type="dxa"/>
          </w:tcPr>
          <w:p w14:paraId="33EB0359" w14:textId="0336B9C0" w:rsidR="005A0824" w:rsidRDefault="005A0824">
            <w:pPr>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rPr>
            </w:pPr>
            <w:r>
              <w:rPr>
                <w:rFonts w:ascii="Calibri" w:hAnsi="Calibri" w:cstheme="minorHAnsi"/>
                <w:sz w:val="20"/>
                <w:szCs w:val="20"/>
              </w:rPr>
              <w:t>2016</w:t>
            </w:r>
          </w:p>
        </w:tc>
        <w:tc>
          <w:tcPr>
            <w:tcW w:w="1850" w:type="dxa"/>
          </w:tcPr>
          <w:p w14:paraId="59EC393C" w14:textId="6C65140E" w:rsidR="005A0824" w:rsidRPr="009568AA" w:rsidRDefault="005A0824" w:rsidP="009568AA">
            <w:pPr>
              <w:spacing w:after="160" w:line="259" w:lineRule="auto"/>
              <w:cnfStyle w:val="000000100000" w:firstRow="0" w:lastRow="0" w:firstColumn="0" w:lastColumn="0" w:oddVBand="0" w:evenVBand="0" w:oddHBand="1" w:evenHBand="0" w:firstRowFirstColumn="0" w:firstRowLastColumn="0" w:lastRowFirstColumn="0" w:lastRowLastColumn="0"/>
              <w:rPr>
                <w:sz w:val="20"/>
                <w:szCs w:val="20"/>
              </w:rPr>
            </w:pPr>
            <w:hyperlink r:id="rId40" w:history="1">
              <w:r w:rsidRPr="009568AA">
                <w:rPr>
                  <w:color w:val="0563C1" w:themeColor="hyperlink"/>
                  <w:sz w:val="20"/>
                  <w:szCs w:val="20"/>
                  <w:u w:val="single"/>
                </w:rPr>
                <w:t>Implementing shared decision making in federally qualified health centers, a quasi-experimental design study: the</w:t>
              </w:r>
              <w:r w:rsidRPr="009568AA">
                <w:rPr>
                  <w:color w:val="0563C1" w:themeColor="hyperlink"/>
                  <w:sz w:val="20"/>
                  <w:szCs w:val="20"/>
                  <w:u w:val="single"/>
                </w:rPr>
                <w:t xml:space="preserve"> </w:t>
              </w:r>
              <w:r w:rsidRPr="009568AA">
                <w:rPr>
                  <w:color w:val="0563C1" w:themeColor="hyperlink"/>
                  <w:sz w:val="20"/>
                  <w:szCs w:val="20"/>
                  <w:u w:val="single"/>
                </w:rPr>
                <w:t>Office-Guidelines Applied to Practice (Office-GAP) program</w:t>
              </w:r>
            </w:hyperlink>
          </w:p>
        </w:tc>
        <w:tc>
          <w:tcPr>
            <w:tcW w:w="9090" w:type="dxa"/>
          </w:tcPr>
          <w:p w14:paraId="565C8CB6" w14:textId="761A5CBF" w:rsidR="005A0824" w:rsidRPr="009568AA" w:rsidRDefault="005A082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568AA">
              <w:rPr>
                <w:rFonts w:cstheme="minorHAnsi"/>
                <w:sz w:val="18"/>
                <w:szCs w:val="18"/>
              </w:rPr>
              <w:t>Use of SDM and Decision Aids has been encouraged but is not regularly implemented in primary care. The Office-Guidelines Applied to Practice (Office-GAP) intervention is an application of a previous model revised to address guidelines based care for low-income populations with diabetes and coronary heart disease (CHD). Objective: To evaluate Office-GAP Program feasibility and preliminary efficacy on medication use, patient satisfaction with physician communication and confidence in decision in low-income population with diabetes and CHD in a Federally Qualified Healthcare Center (FQHC).</w:t>
            </w:r>
          </w:p>
        </w:tc>
      </w:tr>
      <w:tr w:rsidR="005A0824" w:rsidRPr="00BC0FAE" w14:paraId="1C918B31" w14:textId="77777777" w:rsidTr="00BC0FAE">
        <w:trPr>
          <w:trHeight w:val="1700"/>
        </w:trPr>
        <w:tc>
          <w:tcPr>
            <w:cnfStyle w:val="001000000000" w:firstRow="0" w:lastRow="0" w:firstColumn="1" w:lastColumn="0" w:oddVBand="0" w:evenVBand="0" w:oddHBand="0" w:evenHBand="0" w:firstRowFirstColumn="0" w:firstRowLastColumn="0" w:lastRowFirstColumn="0" w:lastRowLastColumn="0"/>
            <w:tcW w:w="1428" w:type="dxa"/>
            <w:vMerge/>
          </w:tcPr>
          <w:p w14:paraId="79BD144B" w14:textId="5EA93061" w:rsidR="005A0824" w:rsidRPr="00BC0FAE" w:rsidRDefault="005A0824">
            <w:pPr>
              <w:rPr>
                <w:rFonts w:cstheme="minorHAnsi"/>
                <w:i/>
                <w:sz w:val="20"/>
                <w:szCs w:val="20"/>
              </w:rPr>
            </w:pPr>
          </w:p>
        </w:tc>
        <w:tc>
          <w:tcPr>
            <w:tcW w:w="855" w:type="dxa"/>
          </w:tcPr>
          <w:p w14:paraId="65C07801" w14:textId="031A29A2" w:rsidR="005A0824" w:rsidRPr="00BC0FAE" w:rsidRDefault="005A0824">
            <w:pPr>
              <w:cnfStyle w:val="000000000000" w:firstRow="0" w:lastRow="0" w:firstColumn="0" w:lastColumn="0" w:oddVBand="0" w:evenVBand="0" w:oddHBand="0" w:evenHBand="0" w:firstRowFirstColumn="0" w:firstRowLastColumn="0" w:lastRowFirstColumn="0" w:lastRowLastColumn="0"/>
              <w:rPr>
                <w:rFonts w:ascii="Calibri" w:hAnsi="Calibri" w:cstheme="minorHAnsi"/>
                <w:sz w:val="20"/>
                <w:szCs w:val="20"/>
              </w:rPr>
            </w:pPr>
            <w:r>
              <w:rPr>
                <w:rFonts w:ascii="Calibri" w:hAnsi="Calibri" w:cstheme="minorHAnsi"/>
                <w:sz w:val="20"/>
                <w:szCs w:val="20"/>
              </w:rPr>
              <w:t>2013</w:t>
            </w:r>
          </w:p>
        </w:tc>
        <w:tc>
          <w:tcPr>
            <w:tcW w:w="1850" w:type="dxa"/>
          </w:tcPr>
          <w:p w14:paraId="23C8BAD2" w14:textId="3DA3565E" w:rsidR="005A0824" w:rsidRPr="009568AA" w:rsidRDefault="005A0824" w:rsidP="009568AA">
            <w:pPr>
              <w:spacing w:after="160" w:line="259" w:lineRule="auto"/>
              <w:cnfStyle w:val="000000000000" w:firstRow="0" w:lastRow="0" w:firstColumn="0" w:lastColumn="0" w:oddVBand="0" w:evenVBand="0" w:oddHBand="0" w:evenHBand="0" w:firstRowFirstColumn="0" w:firstRowLastColumn="0" w:lastRowFirstColumn="0" w:lastRowLastColumn="0"/>
              <w:rPr>
                <w:sz w:val="20"/>
                <w:szCs w:val="20"/>
              </w:rPr>
            </w:pPr>
            <w:hyperlink r:id="rId41" w:history="1">
              <w:r w:rsidRPr="009568AA">
                <w:rPr>
                  <w:color w:val="0563C1" w:themeColor="hyperlink"/>
                  <w:sz w:val="20"/>
                  <w:szCs w:val="20"/>
                  <w:u w:val="single"/>
                </w:rPr>
                <w:t>“Many miles to go …”: a systematic review of the implementation of patient decision support</w:t>
              </w:r>
              <w:r w:rsidRPr="009568AA">
                <w:rPr>
                  <w:color w:val="0563C1" w:themeColor="hyperlink"/>
                  <w:sz w:val="20"/>
                  <w:szCs w:val="20"/>
                  <w:u w:val="single"/>
                </w:rPr>
                <w:t xml:space="preserve"> </w:t>
              </w:r>
              <w:r w:rsidRPr="009568AA">
                <w:rPr>
                  <w:color w:val="0563C1" w:themeColor="hyperlink"/>
                  <w:sz w:val="20"/>
                  <w:szCs w:val="20"/>
                  <w:u w:val="single"/>
                </w:rPr>
                <w:t>interventions into routine clinical practice</w:t>
              </w:r>
            </w:hyperlink>
          </w:p>
        </w:tc>
        <w:tc>
          <w:tcPr>
            <w:tcW w:w="9090" w:type="dxa"/>
          </w:tcPr>
          <w:p w14:paraId="66B3D8D0" w14:textId="6F6CD7E5" w:rsidR="005A0824" w:rsidRPr="00BC0FAE" w:rsidRDefault="005A082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568AA">
              <w:rPr>
                <w:rFonts w:cstheme="minorHAnsi"/>
                <w:sz w:val="18"/>
                <w:szCs w:val="18"/>
              </w:rPr>
              <w:t>Two decades of research has established the positive effect of using patient-targeted decision support interventions: patients gain knowledge, greater understanding of probabilities and increased confidence in decisions. Yet, despite their efficacy, the effectiveness of these decision support interventions in routine practice has yet to be established; widespread adoption has not occurred. The aim of this review was to search for and analyze the findings of published peer-reviewed studies that investigated the success levels of strategies or methods where attempts were made to implement patient-targeted decision support interventions into routine clinical settings.</w:t>
            </w:r>
          </w:p>
        </w:tc>
      </w:tr>
      <w:tr w:rsidR="00BB7E7A" w:rsidRPr="00BC0FAE" w14:paraId="5917F992" w14:textId="77777777" w:rsidTr="00BC0FAE">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1428" w:type="dxa"/>
            <w:hideMark/>
          </w:tcPr>
          <w:p w14:paraId="44618F46" w14:textId="77777777" w:rsidR="00BB7E7A" w:rsidRPr="00BC0FAE" w:rsidRDefault="00BB7E7A">
            <w:pPr>
              <w:rPr>
                <w:rFonts w:cstheme="minorHAnsi"/>
                <w:b w:val="0"/>
                <w:i/>
                <w:sz w:val="20"/>
                <w:szCs w:val="20"/>
              </w:rPr>
            </w:pPr>
            <w:r w:rsidRPr="00BC0FAE">
              <w:rPr>
                <w:rFonts w:cstheme="minorHAnsi"/>
                <w:b w:val="0"/>
                <w:i/>
                <w:sz w:val="20"/>
                <w:szCs w:val="20"/>
              </w:rPr>
              <w:t>Veterans Administration Evidence-based Synthesis Program</w:t>
            </w:r>
          </w:p>
        </w:tc>
        <w:tc>
          <w:tcPr>
            <w:tcW w:w="855" w:type="dxa"/>
          </w:tcPr>
          <w:p w14:paraId="6DC2531C" w14:textId="1FE0944B" w:rsidR="00BB7E7A" w:rsidRPr="00BC0FAE" w:rsidRDefault="000D3E06">
            <w:pPr>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rPr>
            </w:pPr>
            <w:r w:rsidRPr="00BC0FAE">
              <w:rPr>
                <w:rFonts w:ascii="Calibri" w:hAnsi="Calibri" w:cstheme="minorHAnsi"/>
                <w:sz w:val="20"/>
                <w:szCs w:val="20"/>
              </w:rPr>
              <w:t>2014</w:t>
            </w:r>
          </w:p>
        </w:tc>
        <w:tc>
          <w:tcPr>
            <w:tcW w:w="1850" w:type="dxa"/>
          </w:tcPr>
          <w:p w14:paraId="0B259D27" w14:textId="60BA5264" w:rsidR="00BB7E7A" w:rsidRPr="00BC0FAE" w:rsidRDefault="000D3E06">
            <w:pPr>
              <w:cnfStyle w:val="000000100000" w:firstRow="0" w:lastRow="0" w:firstColumn="0" w:lastColumn="0" w:oddVBand="0" w:evenVBand="0" w:oddHBand="1" w:evenHBand="0" w:firstRowFirstColumn="0" w:firstRowLastColumn="0" w:lastRowFirstColumn="0" w:lastRowLastColumn="0"/>
              <w:rPr>
                <w:rFonts w:cstheme="minorHAnsi"/>
                <w:sz w:val="20"/>
                <w:szCs w:val="20"/>
              </w:rPr>
            </w:pPr>
            <w:hyperlink r:id="rId42" w:history="1">
              <w:r w:rsidRPr="00BC0FAE">
                <w:rPr>
                  <w:rStyle w:val="Hyperlink"/>
                  <w:rFonts w:cstheme="minorHAnsi"/>
                  <w:sz w:val="20"/>
                  <w:szCs w:val="20"/>
                </w:rPr>
                <w:t>The Effects of Shared Decision Making on Cancer Screening</w:t>
              </w:r>
            </w:hyperlink>
          </w:p>
        </w:tc>
        <w:tc>
          <w:tcPr>
            <w:tcW w:w="9090" w:type="dxa"/>
          </w:tcPr>
          <w:p w14:paraId="3D0A8EE0" w14:textId="3E729E36" w:rsidR="00BB7E7A" w:rsidRPr="00BC0FAE" w:rsidRDefault="000D3E0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C0FAE">
              <w:rPr>
                <w:rFonts w:cstheme="minorHAnsi"/>
                <w:sz w:val="18"/>
                <w:szCs w:val="18"/>
              </w:rPr>
              <w:t>In this review we examine the effects of SDM interventions for cancer screening in adults on constructs from the Ottawa Decision Support Framework, a commonly-used theoretical model of decision making. We examined the constructs of Decision Quality, Decision Impact, and, for studies reporting those outcomes, Decision Action. Decision Quality includes knowledge, values clarity (patients' clarity of their personal values regarding the risks and benefits of decision options), and the patients' participatory role in decision making. Decision Impact includes decisional conflict (personal uncertainty about which course of action to take), use of services (eg, consultation length), and satisfaction with the decision. Decision Action includes screening intention and behavior. The ideal SDM intervention would enhance Decision Quality (ie, increase knowledge and values clarity) and Impact (ie, increase satisfaction, reduce decision conflict, and have minimal impact on service utilization). The desired impact on Decision Action depends on the screening decision.</w:t>
            </w:r>
          </w:p>
        </w:tc>
      </w:tr>
    </w:tbl>
    <w:p w14:paraId="249248A1" w14:textId="5AFD21C9" w:rsidR="00BB7E7A" w:rsidRDefault="00BB7E7A" w:rsidP="00BB7E7A"/>
    <w:p w14:paraId="3C060D76" w14:textId="5517CFC1" w:rsidR="0012663D" w:rsidRDefault="0012663D" w:rsidP="0012663D">
      <w:pPr>
        <w:sectPr w:rsidR="0012663D" w:rsidSect="00BB7E7A">
          <w:footnotePr>
            <w:numFmt w:val="lowerRoman"/>
          </w:footnotePr>
          <w:endnotePr>
            <w:numFmt w:val="decimal"/>
          </w:endnotePr>
          <w:pgSz w:w="15840" w:h="12240" w:orient="landscape"/>
          <w:pgMar w:top="1440" w:right="720" w:bottom="1440" w:left="720" w:header="720" w:footer="720" w:gutter="0"/>
          <w:cols w:space="720"/>
          <w:docGrid w:linePitch="360"/>
        </w:sectPr>
      </w:pPr>
      <w:r>
        <w:t xml:space="preserve">The </w:t>
      </w:r>
      <w:r>
        <w:t>Health Technology Assessment Program</w:t>
      </w:r>
      <w:r>
        <w:t xml:space="preserve">, </w:t>
      </w:r>
      <w:r>
        <w:t>Centers for Disease Control and Prevention</w:t>
      </w:r>
      <w:r>
        <w:t xml:space="preserve">, and the </w:t>
      </w:r>
      <w:r>
        <w:t>Institute for Clinical and Economic Review</w:t>
      </w:r>
      <w:r>
        <w:t xml:space="preserve"> did not contain any  relevant studies. </w:t>
      </w:r>
    </w:p>
    <w:p w14:paraId="3D5196D2" w14:textId="746011A8" w:rsidR="00581443" w:rsidRDefault="00E7557F" w:rsidP="00E7557F">
      <w:pPr>
        <w:pStyle w:val="Heading1"/>
      </w:pPr>
      <w:r>
        <w:t>References</w:t>
      </w:r>
      <w:bookmarkEnd w:id="35"/>
    </w:p>
    <w:sectPr w:rsidR="00581443" w:rsidSect="00E11B25">
      <w:footnotePr>
        <w:numFmt w:val="lowerRoman"/>
      </w:footnotePr>
      <w:endnotePr>
        <w:numFmt w:val="decimal"/>
      </w:endnotePr>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81874" w14:textId="77777777" w:rsidR="001402A1" w:rsidRDefault="001402A1" w:rsidP="00D82183">
      <w:pPr>
        <w:spacing w:after="0" w:line="240" w:lineRule="auto"/>
      </w:pPr>
      <w:r>
        <w:separator/>
      </w:r>
    </w:p>
  </w:endnote>
  <w:endnote w:type="continuationSeparator" w:id="0">
    <w:p w14:paraId="0FD843F0" w14:textId="77777777" w:rsidR="001402A1" w:rsidRDefault="001402A1" w:rsidP="00D82183">
      <w:pPr>
        <w:spacing w:after="0" w:line="240" w:lineRule="auto"/>
      </w:pPr>
      <w:r>
        <w:continuationSeparator/>
      </w:r>
    </w:p>
  </w:endnote>
  <w:endnote w:id="1">
    <w:p w14:paraId="64FAE7C6" w14:textId="77777777" w:rsidR="00E70566" w:rsidRPr="008868BC" w:rsidRDefault="00E70566" w:rsidP="00E70566">
      <w:pPr>
        <w:pStyle w:val="EndnoteText"/>
      </w:pPr>
      <w:r w:rsidRPr="008868BC">
        <w:rPr>
          <w:rStyle w:val="EndnoteReference"/>
        </w:rPr>
        <w:endnoteRef/>
      </w:r>
      <w:r w:rsidRPr="008868BC">
        <w:t xml:space="preserve"> Washington State Health Care Authority. Shared Decision Making. 2018. Accessed: November 2018. Available: </w:t>
      </w:r>
      <w:hyperlink r:id="rId1" w:history="1">
        <w:r w:rsidRPr="008868BC">
          <w:rPr>
            <w:rStyle w:val="Hyperlink"/>
          </w:rPr>
          <w:t>www.hca.wa.gov/about-hca/healthier-washington/shared-decision-making</w:t>
        </w:r>
      </w:hyperlink>
      <w:r w:rsidRPr="008868BC">
        <w:t xml:space="preserve">. </w:t>
      </w:r>
    </w:p>
  </w:endnote>
  <w:endnote w:id="2">
    <w:p w14:paraId="14316444" w14:textId="33B2FD87" w:rsidR="00C37A49" w:rsidRPr="008868BC" w:rsidRDefault="00C37A49">
      <w:pPr>
        <w:pStyle w:val="EndnoteText"/>
      </w:pPr>
      <w:r w:rsidRPr="008868BC">
        <w:rPr>
          <w:rStyle w:val="EndnoteReference"/>
        </w:rPr>
        <w:endnoteRef/>
      </w:r>
      <w:r w:rsidRPr="008868BC">
        <w:t xml:space="preserve"> Moumjid N, Gafni A, Brémond A, Carrère MO. Shared decision making in the medical encounter: are we all talking about the same thing? Med Decis Making. 2007 Sep-Oct;27(5):539-46.</w:t>
      </w:r>
    </w:p>
  </w:endnote>
  <w:endnote w:id="3">
    <w:p w14:paraId="328585AB" w14:textId="6C2714DD" w:rsidR="00557564" w:rsidRPr="008868BC" w:rsidRDefault="00557564">
      <w:pPr>
        <w:pStyle w:val="EndnoteText"/>
      </w:pPr>
      <w:r w:rsidRPr="008868BC">
        <w:rPr>
          <w:rStyle w:val="EndnoteReference"/>
        </w:rPr>
        <w:endnoteRef/>
      </w:r>
      <w:r w:rsidRPr="008868BC">
        <w:t xml:space="preserve"> Elwyn G, Scholl I, Tietbohl C, Mann M, Edwards AG, Clay C, et al. "Many miles to go …": a systematic review of the implementation of patient decision support interventions into routine clinical practice. BMC Med Inform Decis Mak. 2013;13 Suppl 2:S14.</w:t>
      </w:r>
    </w:p>
  </w:endnote>
  <w:endnote w:id="4">
    <w:p w14:paraId="089A8E72" w14:textId="77777777" w:rsidR="00E70566" w:rsidRPr="008868BC" w:rsidRDefault="00E70566" w:rsidP="00E70566">
      <w:pPr>
        <w:pStyle w:val="EndnoteText"/>
      </w:pPr>
      <w:r w:rsidRPr="008868BC">
        <w:rPr>
          <w:rStyle w:val="EndnoteReference"/>
        </w:rPr>
        <w:endnoteRef/>
      </w:r>
      <w:r w:rsidRPr="008868BC">
        <w:t xml:space="preserve"> Arterburn D, Wellman R, Westbrook E, Rutter C, Ross T, McCulloch D, et al. Introducing decision aids at Group Health was linked to sharply lower hip and knee surgery rates and costs. Health Aff (Millwood). 2012 Sep;31(9):2094-104.</w:t>
      </w:r>
    </w:p>
  </w:endnote>
  <w:endnote w:id="5">
    <w:p w14:paraId="2C575407" w14:textId="77777777" w:rsidR="00E70566" w:rsidRPr="008868BC" w:rsidRDefault="00E70566" w:rsidP="00E70566">
      <w:pPr>
        <w:pStyle w:val="EndnoteText"/>
      </w:pPr>
      <w:r w:rsidRPr="008868BC">
        <w:rPr>
          <w:rStyle w:val="EndnoteReference"/>
        </w:rPr>
        <w:endnoteRef/>
      </w:r>
      <w:r w:rsidRPr="008868BC">
        <w:t xml:space="preserve"> Stacey D, Légaré F, Col NF, Bennett CL, Barry MJ, Eden KB, et al. Decision aids for people facing health treatment or screening decisions. Cochrane Database Syst Rev. 2014 Jan 28;(1):CD001431.</w:t>
      </w:r>
    </w:p>
  </w:endnote>
  <w:endnote w:id="6">
    <w:p w14:paraId="4BD73558" w14:textId="4AEDB4D5" w:rsidR="00035115" w:rsidRPr="008868BC" w:rsidRDefault="00035115">
      <w:pPr>
        <w:pStyle w:val="EndnoteText"/>
      </w:pPr>
      <w:r w:rsidRPr="008868BC">
        <w:rPr>
          <w:rStyle w:val="EndnoteReference"/>
        </w:rPr>
        <w:endnoteRef/>
      </w:r>
      <w:r w:rsidRPr="008868BC">
        <w:t xml:space="preserve"> Ibrahim SA, Blum M, Lee GC, Mooar P, Medvedeva E, Collier A, Richardson D. Effect of a Decision Aid on Access to Total Knee Replacement for Black Patients With Osteoarthritis of the Knee: A Randomized Clinical Trial. JAMA Surg. 2017 Jan 18;152(1):e164225.</w:t>
      </w:r>
    </w:p>
  </w:endnote>
  <w:endnote w:id="7">
    <w:p w14:paraId="3806583F" w14:textId="77777777" w:rsidR="00422CB1" w:rsidRPr="008868BC" w:rsidRDefault="00422CB1" w:rsidP="00422CB1">
      <w:pPr>
        <w:pStyle w:val="EndnoteText"/>
      </w:pPr>
      <w:r w:rsidRPr="008868BC">
        <w:rPr>
          <w:rStyle w:val="EndnoteReference"/>
        </w:rPr>
        <w:endnoteRef/>
      </w:r>
      <w:r w:rsidRPr="008868BC">
        <w:t xml:space="preserve"> Gravel K, Légaré F, Graham ID. Barriers and facilitators to implementing shared decision-making in clinical practice: a systematic review of health professionals' perceptions. Implement Sci. 2006;1:16. Published 2006 Aug 9. doi:10.1186/1748-5908-1-16</w:t>
      </w:r>
    </w:p>
  </w:endnote>
  <w:endnote w:id="8">
    <w:p w14:paraId="66743550" w14:textId="77777777" w:rsidR="00422CB1" w:rsidRPr="008868BC" w:rsidRDefault="00422CB1" w:rsidP="00422CB1">
      <w:pPr>
        <w:pStyle w:val="EndnoteText"/>
      </w:pPr>
      <w:r w:rsidRPr="008868BC">
        <w:rPr>
          <w:rStyle w:val="EndnoteReference"/>
        </w:rPr>
        <w:endnoteRef/>
      </w:r>
      <w:r w:rsidRPr="008868BC">
        <w:t xml:space="preserve"> Friedberg MW, Van Busum K, Wexler R, Bowen M, Schneider EC. A Demonstration Of Shared Decision Making In Primary Care Highlights Barriers To Adoption And Potential Remedies. Health Aff (Millwood). 2013 Feb;32(2):268-75.</w:t>
      </w:r>
    </w:p>
  </w:endnote>
  <w:endnote w:id="9">
    <w:p w14:paraId="006B2228" w14:textId="6E7AA7EF" w:rsidR="00C74C76" w:rsidRPr="008868BC" w:rsidRDefault="00C74C76">
      <w:pPr>
        <w:pStyle w:val="EndnoteText"/>
      </w:pPr>
      <w:r w:rsidRPr="008868BC">
        <w:rPr>
          <w:rStyle w:val="EndnoteReference"/>
        </w:rPr>
        <w:endnoteRef/>
      </w:r>
      <w:r w:rsidRPr="008868BC">
        <w:t xml:space="preserve"> Sepucha KR, Simmons LH, Barry MJ, Edgman-Levitan S, Licurse AM, Chaguturu SK. Ten Years, Forty Decision Aids, And Thousands Of Patient Uses: Shared Decision Making At Massachusetts General Hospital. Health Aff (Millwood). 2016 Apr;35(4):630-6.</w:t>
      </w:r>
    </w:p>
  </w:endnote>
  <w:endnote w:id="10">
    <w:p w14:paraId="03FAAA49" w14:textId="4D42793C" w:rsidR="00454947" w:rsidRPr="008868BC" w:rsidRDefault="00454947">
      <w:pPr>
        <w:pStyle w:val="EndnoteText"/>
      </w:pPr>
      <w:r w:rsidRPr="008868BC">
        <w:rPr>
          <w:rStyle w:val="EndnoteReference"/>
        </w:rPr>
        <w:endnoteRef/>
      </w:r>
      <w:r w:rsidRPr="008868BC">
        <w:t xml:space="preserve"> </w:t>
      </w:r>
      <w:r w:rsidR="008868BC" w:rsidRPr="008868BC">
        <w:t>Washington State Health Care A</w:t>
      </w:r>
      <w:r w:rsidR="008868BC">
        <w:t>uthority. Patient Decision Aids (PDAs)</w:t>
      </w:r>
      <w:r w:rsidR="008868BC" w:rsidRPr="008868BC">
        <w:t xml:space="preserve">. 2018. Accessed: November 2018. Available: </w:t>
      </w:r>
      <w:hyperlink r:id="rId2" w:history="1">
        <w:r w:rsidRPr="008868BC">
          <w:rPr>
            <w:rStyle w:val="Hyperlink"/>
          </w:rPr>
          <w:t>www.hca.wa.gov/about-hca/healthier-washington/patient-decision-aids-pdas</w:t>
        </w:r>
      </w:hyperlink>
      <w:r w:rsidRPr="008868BC">
        <w:t xml:space="preserve"> </w:t>
      </w:r>
    </w:p>
  </w:endnote>
  <w:endnote w:id="11">
    <w:p w14:paraId="754A04D6" w14:textId="11DD5F36" w:rsidR="00454947" w:rsidRPr="008868BC" w:rsidRDefault="00454947" w:rsidP="008868BC">
      <w:pPr>
        <w:pStyle w:val="EndnoteText"/>
      </w:pPr>
      <w:r w:rsidRPr="008868BC">
        <w:rPr>
          <w:rStyle w:val="EndnoteReference"/>
        </w:rPr>
        <w:endnoteRef/>
      </w:r>
      <w:r w:rsidRPr="008868BC">
        <w:t xml:space="preserve"> </w:t>
      </w:r>
      <w:r w:rsidR="008868BC">
        <w:t xml:space="preserve">RCW 7.70.060. Consent form—Contents—Prima facie evidence—Shared decision making—Patient decision aid—Failure to use. Accessed: May 2019. Available: </w:t>
      </w:r>
      <w:hyperlink r:id="rId3" w:history="1">
        <w:r w:rsidRPr="008868BC">
          <w:rPr>
            <w:rStyle w:val="Hyperlink"/>
          </w:rPr>
          <w:t>https://app.leg.wa.gov/RCW/default.aspx?cite=7.70.060</w:t>
        </w:r>
      </w:hyperlink>
      <w:r w:rsidRPr="008868BC">
        <w:t xml:space="preserve"> </w:t>
      </w:r>
    </w:p>
  </w:endnote>
  <w:endnote w:id="12">
    <w:p w14:paraId="161AF197" w14:textId="77777777" w:rsidR="00F365C6" w:rsidRDefault="00F365C6" w:rsidP="00F365C6">
      <w:pPr>
        <w:pStyle w:val="EndnoteText"/>
      </w:pPr>
      <w:r w:rsidRPr="008868BC">
        <w:rPr>
          <w:rStyle w:val="EndnoteReference"/>
        </w:rPr>
        <w:endnoteRef/>
      </w:r>
      <w:r w:rsidRPr="008868BC">
        <w:t xml:space="preserve"> </w:t>
      </w:r>
      <w:r>
        <w:t>62</w:t>
      </w:r>
      <w:r w:rsidRPr="00120A73">
        <w:rPr>
          <w:vertAlign w:val="superscript"/>
        </w:rPr>
        <w:t>nd</w:t>
      </w:r>
      <w:r>
        <w:t xml:space="preserve"> Washington State Legislature. Engrossed Substitite Hosue Bill 1311. 2011. Accessed: May 2019. Available: </w:t>
      </w:r>
      <w:hyperlink r:id="rId4" w:history="1">
        <w:r w:rsidRPr="008868BC">
          <w:rPr>
            <w:rStyle w:val="Hyperlink"/>
          </w:rPr>
          <w:t>https://apps.leg.wa.gov/documents/billdocs/2011-12/Pdf/Bills/House%20Passed%20Legislature/1311-S.PL.pdf</w:t>
        </w:r>
      </w:hyperlink>
      <w:r>
        <w:t xml:space="preserve"> </w:t>
      </w:r>
    </w:p>
  </w:endnote>
  <w:endnote w:id="13">
    <w:p w14:paraId="3A8157C4" w14:textId="77777777" w:rsidR="00273B43" w:rsidRDefault="00273B43" w:rsidP="00273B43">
      <w:pPr>
        <w:pStyle w:val="EndnoteText"/>
      </w:pPr>
      <w:r>
        <w:rPr>
          <w:rStyle w:val="EndnoteReference"/>
        </w:rPr>
        <w:endnoteRef/>
      </w:r>
      <w:r>
        <w:t xml:space="preserve"> Agency for Healthcare Research and Qualtiy. The SHARE Approach – Putting Shared Decisionmaking Into Practice: A User’s Guide for Clinical Teams. </w:t>
      </w:r>
      <w:r w:rsidRPr="002D23F0">
        <w:t xml:space="preserve">Content last reviewed July 2018. Rockville, MD. </w:t>
      </w:r>
      <w:r>
        <w:t xml:space="preserve">Accessed: April 2019. Available: </w:t>
      </w:r>
      <w:hyperlink r:id="rId5" w:history="1">
        <w:r w:rsidRPr="00B61627">
          <w:rPr>
            <w:rStyle w:val="Hyperlink"/>
          </w:rPr>
          <w:t>https://www.ahrq.gov/professionals/education/curriculum-tools/shareddecisionmaking/tools/tool-8/index.html</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330412"/>
      <w:docPartObj>
        <w:docPartGallery w:val="Page Numbers (Bottom of Page)"/>
        <w:docPartUnique/>
      </w:docPartObj>
    </w:sdtPr>
    <w:sdtEndPr>
      <w:rPr>
        <w:noProof/>
      </w:rPr>
    </w:sdtEndPr>
    <w:sdtContent>
      <w:p w14:paraId="50666B77" w14:textId="77777777" w:rsidR="0060422B" w:rsidRDefault="0060422B">
        <w:pPr>
          <w:pStyle w:val="Footer"/>
          <w:jc w:val="right"/>
        </w:pPr>
        <w:r>
          <w:t xml:space="preserve">Page </w:t>
        </w:r>
        <w:r>
          <w:fldChar w:fldCharType="begin"/>
        </w:r>
        <w:r>
          <w:instrText xml:space="preserve"> PAGE   \* MERGEFORMAT </w:instrText>
        </w:r>
        <w:r>
          <w:fldChar w:fldCharType="separate"/>
        </w:r>
        <w:r w:rsidR="005C0E14">
          <w:rPr>
            <w:noProof/>
          </w:rPr>
          <w:t>5</w:t>
        </w:r>
        <w:r>
          <w:rPr>
            <w:noProof/>
          </w:rPr>
          <w:fldChar w:fldCharType="end"/>
        </w:r>
        <w:r>
          <w:rPr>
            <w:noProof/>
          </w:rPr>
          <w:t xml:space="preserve"> of X</w:t>
        </w:r>
      </w:p>
    </w:sdtContent>
  </w:sdt>
  <w:p w14:paraId="04358E26" w14:textId="77777777" w:rsidR="0060422B" w:rsidRDefault="006042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72401"/>
      <w:docPartObj>
        <w:docPartGallery w:val="Page Numbers (Bottom of Page)"/>
        <w:docPartUnique/>
      </w:docPartObj>
    </w:sdtPr>
    <w:sdtEndPr>
      <w:rPr>
        <w:noProof/>
      </w:rPr>
    </w:sdtEndPr>
    <w:sdtContent>
      <w:p w14:paraId="01EAD673" w14:textId="77777777" w:rsidR="0060422B" w:rsidRDefault="0060422B">
        <w:pPr>
          <w:pStyle w:val="Footer"/>
        </w:pPr>
        <w:r w:rsidRPr="00257C5C">
          <w:rPr>
            <w:noProof/>
            <w:sz w:val="20"/>
          </w:rPr>
          <w:t xml:space="preserve"> </w:t>
        </w:r>
        <w:r>
          <w:rPr>
            <w:noProof/>
          </w:rPr>
          <w:tab/>
        </w:r>
        <w:r>
          <w:rPr>
            <w:noProof/>
          </w:rPr>
          <w:tab/>
        </w:r>
        <w:r>
          <w:t>Page 1</w:t>
        </w:r>
        <w:r>
          <w:rPr>
            <w:noProof/>
          </w:rPr>
          <w:t xml:space="preserve"> of X</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974421"/>
      <w:docPartObj>
        <w:docPartGallery w:val="Page Numbers (Bottom of Page)"/>
        <w:docPartUnique/>
      </w:docPartObj>
    </w:sdtPr>
    <w:sdtEndPr>
      <w:rPr>
        <w:noProof/>
      </w:rPr>
    </w:sdtEndPr>
    <w:sdtContent>
      <w:p w14:paraId="57854A75" w14:textId="14FCE143" w:rsidR="00F91FA4" w:rsidRDefault="00F91FA4">
        <w:pPr>
          <w:pStyle w:val="Footer"/>
          <w:jc w:val="right"/>
        </w:pPr>
        <w:r>
          <w:t xml:space="preserve">Page </w:t>
        </w:r>
        <w:r>
          <w:fldChar w:fldCharType="begin"/>
        </w:r>
        <w:r>
          <w:instrText xml:space="preserve"> PAGE   \* MERGEFORMAT </w:instrText>
        </w:r>
        <w:r>
          <w:fldChar w:fldCharType="separate"/>
        </w:r>
        <w:r w:rsidR="005C0E14">
          <w:rPr>
            <w:noProof/>
          </w:rPr>
          <w:t>14</w:t>
        </w:r>
        <w:r>
          <w:rPr>
            <w:noProof/>
          </w:rPr>
          <w:fldChar w:fldCharType="end"/>
        </w:r>
        <w:r w:rsidR="0012663D">
          <w:rPr>
            <w:noProof/>
          </w:rPr>
          <w:t xml:space="preserve"> of X</w:t>
        </w:r>
      </w:p>
    </w:sdtContent>
  </w:sdt>
  <w:p w14:paraId="3DFBBFE6" w14:textId="77777777" w:rsidR="00F91FA4" w:rsidRDefault="00F91F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388868"/>
      <w:docPartObj>
        <w:docPartGallery w:val="Page Numbers (Bottom of Page)"/>
        <w:docPartUnique/>
      </w:docPartObj>
    </w:sdtPr>
    <w:sdtEndPr>
      <w:rPr>
        <w:noProof/>
      </w:rPr>
    </w:sdtEndPr>
    <w:sdtContent>
      <w:p w14:paraId="135908F8" w14:textId="67F58922" w:rsidR="001402A1" w:rsidRDefault="001402A1">
        <w:pPr>
          <w:pStyle w:val="Footer"/>
        </w:pPr>
        <w:r w:rsidRPr="00257C5C">
          <w:rPr>
            <w:noProof/>
            <w:sz w:val="20"/>
          </w:rPr>
          <w:t xml:space="preserve"> </w:t>
        </w:r>
        <w:r>
          <w:rPr>
            <w:noProof/>
          </w:rPr>
          <w:tab/>
        </w:r>
        <w:r>
          <w:rPr>
            <w:noProof/>
          </w:rPr>
          <w:tab/>
        </w:r>
        <w:r>
          <w:t>Page 1</w:t>
        </w:r>
        <w:r w:rsidR="0065316B">
          <w:rPr>
            <w:noProof/>
          </w:rPr>
          <w:t xml:space="preserve"> of X</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53F72" w14:textId="77777777" w:rsidR="001402A1" w:rsidRDefault="001402A1" w:rsidP="00D82183">
      <w:pPr>
        <w:spacing w:after="0" w:line="240" w:lineRule="auto"/>
      </w:pPr>
      <w:r>
        <w:separator/>
      </w:r>
    </w:p>
  </w:footnote>
  <w:footnote w:type="continuationSeparator" w:id="0">
    <w:p w14:paraId="7865DD6C" w14:textId="77777777" w:rsidR="001402A1" w:rsidRDefault="001402A1" w:rsidP="00D821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8CCE5" w14:textId="77777777" w:rsidR="0060422B" w:rsidRDefault="0060422B">
    <w:pPr>
      <w:pStyle w:val="Header"/>
    </w:pPr>
    <w:r>
      <w:t>Shared Decision Making – DRAFT</w:t>
    </w:r>
  </w:p>
  <w:p w14:paraId="36596228" w14:textId="77777777" w:rsidR="0060422B" w:rsidRDefault="0060422B">
    <w:pPr>
      <w:pStyle w:val="Header"/>
    </w:pPr>
    <w:r>
      <w:t>Updated: June 19,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E51FE" w14:textId="7021B7E1" w:rsidR="00BB7E7A" w:rsidRDefault="00BB7E7A">
    <w:pPr>
      <w:pStyle w:val="Header"/>
    </w:pPr>
    <w:r>
      <w:t>Shared Decision Making – DRAFT</w:t>
    </w:r>
  </w:p>
  <w:p w14:paraId="29434BCB" w14:textId="15BF7DEB" w:rsidR="00BB7E7A" w:rsidRDefault="00BB7E7A">
    <w:pPr>
      <w:pStyle w:val="Header"/>
    </w:pPr>
    <w:r>
      <w:t>Updated: June 19,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483D"/>
    <w:multiLevelType w:val="hybridMultilevel"/>
    <w:tmpl w:val="EC9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D0562"/>
    <w:multiLevelType w:val="hybridMultilevel"/>
    <w:tmpl w:val="80DE2C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F1046"/>
    <w:multiLevelType w:val="hybridMultilevel"/>
    <w:tmpl w:val="E3782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A1461"/>
    <w:multiLevelType w:val="hybridMultilevel"/>
    <w:tmpl w:val="67B61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92851"/>
    <w:multiLevelType w:val="hybridMultilevel"/>
    <w:tmpl w:val="12689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34D61"/>
    <w:multiLevelType w:val="hybridMultilevel"/>
    <w:tmpl w:val="AE822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F7974"/>
    <w:multiLevelType w:val="hybridMultilevel"/>
    <w:tmpl w:val="41EEA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84529"/>
    <w:multiLevelType w:val="hybridMultilevel"/>
    <w:tmpl w:val="CBE0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C68A4"/>
    <w:multiLevelType w:val="hybridMultilevel"/>
    <w:tmpl w:val="3C16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26428"/>
    <w:multiLevelType w:val="hybridMultilevel"/>
    <w:tmpl w:val="CA500F54"/>
    <w:lvl w:ilvl="0" w:tplc="04090001">
      <w:start w:val="1"/>
      <w:numFmt w:val="bullet"/>
      <w:lvlText w:val=""/>
      <w:lvlJc w:val="left"/>
      <w:pPr>
        <w:ind w:left="720" w:hanging="360"/>
      </w:pPr>
      <w:rPr>
        <w:rFonts w:ascii="Symbol" w:hAnsi="Symbol" w:hint="default"/>
      </w:rPr>
    </w:lvl>
    <w:lvl w:ilvl="1" w:tplc="8BFCD90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74CFB"/>
    <w:multiLevelType w:val="hybridMultilevel"/>
    <w:tmpl w:val="00EEE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460C0"/>
    <w:multiLevelType w:val="singleLevel"/>
    <w:tmpl w:val="10C81964"/>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2AF94A93"/>
    <w:multiLevelType w:val="hybridMultilevel"/>
    <w:tmpl w:val="3C46A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618B2"/>
    <w:multiLevelType w:val="hybridMultilevel"/>
    <w:tmpl w:val="586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32E02"/>
    <w:multiLevelType w:val="hybridMultilevel"/>
    <w:tmpl w:val="05F4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F33F8"/>
    <w:multiLevelType w:val="hybridMultilevel"/>
    <w:tmpl w:val="6924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0196C"/>
    <w:multiLevelType w:val="hybridMultilevel"/>
    <w:tmpl w:val="5B2E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73745"/>
    <w:multiLevelType w:val="hybridMultilevel"/>
    <w:tmpl w:val="3D10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E1535"/>
    <w:multiLevelType w:val="hybridMultilevel"/>
    <w:tmpl w:val="6EAA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72CB2"/>
    <w:multiLevelType w:val="hybridMultilevel"/>
    <w:tmpl w:val="51DCBE38"/>
    <w:lvl w:ilvl="0" w:tplc="F0EC329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25104"/>
    <w:multiLevelType w:val="hybridMultilevel"/>
    <w:tmpl w:val="8B12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71AB2"/>
    <w:multiLevelType w:val="hybridMultilevel"/>
    <w:tmpl w:val="0D4EDF10"/>
    <w:lvl w:ilvl="0" w:tplc="04090003">
      <w:start w:val="1"/>
      <w:numFmt w:val="bullet"/>
      <w:lvlText w:val="o"/>
      <w:lvlJc w:val="left"/>
      <w:pPr>
        <w:ind w:left="522" w:hanging="360"/>
      </w:pPr>
      <w:rPr>
        <w:rFonts w:ascii="Courier New" w:hAnsi="Courier New" w:cs="Courier New"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2" w15:restartNumberingAfterBreak="0">
    <w:nsid w:val="4F3F7AD6"/>
    <w:multiLevelType w:val="hybridMultilevel"/>
    <w:tmpl w:val="82FED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870AA3"/>
    <w:multiLevelType w:val="hybridMultilevel"/>
    <w:tmpl w:val="8BF4B36E"/>
    <w:lvl w:ilvl="0" w:tplc="1D861730">
      <w:start w:val="1"/>
      <w:numFmt w:val="upperRoman"/>
      <w:lvlText w:val="%1."/>
      <w:lvlJc w:val="right"/>
      <w:pPr>
        <w:tabs>
          <w:tab w:val="num" w:pos="1800"/>
        </w:tabs>
        <w:ind w:left="1800" w:hanging="360"/>
      </w:pPr>
    </w:lvl>
    <w:lvl w:ilvl="1" w:tplc="F438CCF2" w:tentative="1">
      <w:start w:val="1"/>
      <w:numFmt w:val="upperRoman"/>
      <w:lvlText w:val="%2."/>
      <w:lvlJc w:val="right"/>
      <w:pPr>
        <w:tabs>
          <w:tab w:val="num" w:pos="2520"/>
        </w:tabs>
        <w:ind w:left="2520" w:hanging="360"/>
      </w:pPr>
    </w:lvl>
    <w:lvl w:ilvl="2" w:tplc="16BED84C" w:tentative="1">
      <w:start w:val="1"/>
      <w:numFmt w:val="upperRoman"/>
      <w:lvlText w:val="%3."/>
      <w:lvlJc w:val="right"/>
      <w:pPr>
        <w:tabs>
          <w:tab w:val="num" w:pos="3240"/>
        </w:tabs>
        <w:ind w:left="3240" w:hanging="360"/>
      </w:pPr>
    </w:lvl>
    <w:lvl w:ilvl="3" w:tplc="580A11E6" w:tentative="1">
      <w:start w:val="1"/>
      <w:numFmt w:val="upperRoman"/>
      <w:lvlText w:val="%4."/>
      <w:lvlJc w:val="right"/>
      <w:pPr>
        <w:tabs>
          <w:tab w:val="num" w:pos="3960"/>
        </w:tabs>
        <w:ind w:left="3960" w:hanging="360"/>
      </w:pPr>
    </w:lvl>
    <w:lvl w:ilvl="4" w:tplc="EA00873E" w:tentative="1">
      <w:start w:val="1"/>
      <w:numFmt w:val="upperRoman"/>
      <w:lvlText w:val="%5."/>
      <w:lvlJc w:val="right"/>
      <w:pPr>
        <w:tabs>
          <w:tab w:val="num" w:pos="4680"/>
        </w:tabs>
        <w:ind w:left="4680" w:hanging="360"/>
      </w:pPr>
    </w:lvl>
    <w:lvl w:ilvl="5" w:tplc="F364E860" w:tentative="1">
      <w:start w:val="1"/>
      <w:numFmt w:val="upperRoman"/>
      <w:lvlText w:val="%6."/>
      <w:lvlJc w:val="right"/>
      <w:pPr>
        <w:tabs>
          <w:tab w:val="num" w:pos="5400"/>
        </w:tabs>
        <w:ind w:left="5400" w:hanging="360"/>
      </w:pPr>
    </w:lvl>
    <w:lvl w:ilvl="6" w:tplc="500089B6" w:tentative="1">
      <w:start w:val="1"/>
      <w:numFmt w:val="upperRoman"/>
      <w:lvlText w:val="%7."/>
      <w:lvlJc w:val="right"/>
      <w:pPr>
        <w:tabs>
          <w:tab w:val="num" w:pos="6120"/>
        </w:tabs>
        <w:ind w:left="6120" w:hanging="360"/>
      </w:pPr>
    </w:lvl>
    <w:lvl w:ilvl="7" w:tplc="B232C298" w:tentative="1">
      <w:start w:val="1"/>
      <w:numFmt w:val="upperRoman"/>
      <w:lvlText w:val="%8."/>
      <w:lvlJc w:val="right"/>
      <w:pPr>
        <w:tabs>
          <w:tab w:val="num" w:pos="6840"/>
        </w:tabs>
        <w:ind w:left="6840" w:hanging="360"/>
      </w:pPr>
    </w:lvl>
    <w:lvl w:ilvl="8" w:tplc="DFD82018" w:tentative="1">
      <w:start w:val="1"/>
      <w:numFmt w:val="upperRoman"/>
      <w:lvlText w:val="%9."/>
      <w:lvlJc w:val="right"/>
      <w:pPr>
        <w:tabs>
          <w:tab w:val="num" w:pos="7560"/>
        </w:tabs>
        <w:ind w:left="7560" w:hanging="360"/>
      </w:pPr>
    </w:lvl>
  </w:abstractNum>
  <w:abstractNum w:abstractNumId="24" w15:restartNumberingAfterBreak="0">
    <w:nsid w:val="522B0E11"/>
    <w:multiLevelType w:val="hybridMultilevel"/>
    <w:tmpl w:val="55F28AB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15:restartNumberingAfterBreak="0">
    <w:nsid w:val="52973A9A"/>
    <w:multiLevelType w:val="hybridMultilevel"/>
    <w:tmpl w:val="BA08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5184A"/>
    <w:multiLevelType w:val="hybridMultilevel"/>
    <w:tmpl w:val="16040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0973A1"/>
    <w:multiLevelType w:val="hybridMultilevel"/>
    <w:tmpl w:val="89F048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E130D"/>
    <w:multiLevelType w:val="hybridMultilevel"/>
    <w:tmpl w:val="24C2B1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23FDB"/>
    <w:multiLevelType w:val="hybridMultilevel"/>
    <w:tmpl w:val="C7D8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F69F7"/>
    <w:multiLevelType w:val="hybridMultilevel"/>
    <w:tmpl w:val="ED30D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52804"/>
    <w:multiLevelType w:val="hybridMultilevel"/>
    <w:tmpl w:val="7BEA670A"/>
    <w:lvl w:ilvl="0" w:tplc="DF7418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81F619C6">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D2BB4"/>
    <w:multiLevelType w:val="hybridMultilevel"/>
    <w:tmpl w:val="3DC0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F5D7E"/>
    <w:multiLevelType w:val="hybridMultilevel"/>
    <w:tmpl w:val="F7E0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A6400"/>
    <w:multiLevelType w:val="hybridMultilevel"/>
    <w:tmpl w:val="30885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5"/>
  </w:num>
  <w:num w:numId="4">
    <w:abstractNumId w:val="32"/>
  </w:num>
  <w:num w:numId="5">
    <w:abstractNumId w:val="29"/>
  </w:num>
  <w:num w:numId="6">
    <w:abstractNumId w:val="20"/>
  </w:num>
  <w:num w:numId="7">
    <w:abstractNumId w:val="6"/>
  </w:num>
  <w:num w:numId="8">
    <w:abstractNumId w:val="12"/>
  </w:num>
  <w:num w:numId="9">
    <w:abstractNumId w:val="34"/>
  </w:num>
  <w:num w:numId="10">
    <w:abstractNumId w:val="30"/>
  </w:num>
  <w:num w:numId="11">
    <w:abstractNumId w:val="19"/>
  </w:num>
  <w:num w:numId="12">
    <w:abstractNumId w:val="4"/>
  </w:num>
  <w:num w:numId="13">
    <w:abstractNumId w:val="33"/>
  </w:num>
  <w:num w:numId="14">
    <w:abstractNumId w:val="21"/>
  </w:num>
  <w:num w:numId="15">
    <w:abstractNumId w:val="14"/>
  </w:num>
  <w:num w:numId="16">
    <w:abstractNumId w:val="9"/>
  </w:num>
  <w:num w:numId="17">
    <w:abstractNumId w:val="0"/>
  </w:num>
  <w:num w:numId="18">
    <w:abstractNumId w:val="11"/>
  </w:num>
  <w:num w:numId="19">
    <w:abstractNumId w:val="8"/>
  </w:num>
  <w:num w:numId="20">
    <w:abstractNumId w:val="16"/>
  </w:num>
  <w:num w:numId="21">
    <w:abstractNumId w:val="7"/>
  </w:num>
  <w:num w:numId="22">
    <w:abstractNumId w:val="27"/>
  </w:num>
  <w:num w:numId="23">
    <w:abstractNumId w:val="24"/>
  </w:num>
  <w:num w:numId="24">
    <w:abstractNumId w:val="18"/>
  </w:num>
  <w:num w:numId="25">
    <w:abstractNumId w:val="3"/>
  </w:num>
  <w:num w:numId="26">
    <w:abstractNumId w:val="2"/>
  </w:num>
  <w:num w:numId="27">
    <w:abstractNumId w:val="25"/>
  </w:num>
  <w:num w:numId="28">
    <w:abstractNumId w:val="1"/>
  </w:num>
  <w:num w:numId="29">
    <w:abstractNumId w:val="17"/>
  </w:num>
  <w:num w:numId="30">
    <w:abstractNumId w:val="23"/>
  </w:num>
  <w:num w:numId="31">
    <w:abstractNumId w:val="28"/>
  </w:num>
  <w:num w:numId="32">
    <w:abstractNumId w:val="22"/>
  </w:num>
  <w:num w:numId="33">
    <w:abstractNumId w:val="13"/>
  </w:num>
  <w:num w:numId="34">
    <w:abstractNumId w:val="10"/>
  </w:num>
  <w:num w:numId="3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83"/>
    <w:rsid w:val="0000083F"/>
    <w:rsid w:val="00001A05"/>
    <w:rsid w:val="00001DD7"/>
    <w:rsid w:val="00002351"/>
    <w:rsid w:val="00002FD2"/>
    <w:rsid w:val="00003083"/>
    <w:rsid w:val="0000309E"/>
    <w:rsid w:val="00003E8F"/>
    <w:rsid w:val="00005326"/>
    <w:rsid w:val="00005B43"/>
    <w:rsid w:val="00007D82"/>
    <w:rsid w:val="00011721"/>
    <w:rsid w:val="00011EB1"/>
    <w:rsid w:val="00012F6D"/>
    <w:rsid w:val="0001496E"/>
    <w:rsid w:val="000156B5"/>
    <w:rsid w:val="00015A07"/>
    <w:rsid w:val="00015ADD"/>
    <w:rsid w:val="000171DF"/>
    <w:rsid w:val="00020012"/>
    <w:rsid w:val="000214B1"/>
    <w:rsid w:val="00021D44"/>
    <w:rsid w:val="00022300"/>
    <w:rsid w:val="00022890"/>
    <w:rsid w:val="000254FA"/>
    <w:rsid w:val="00025685"/>
    <w:rsid w:val="0002783B"/>
    <w:rsid w:val="000324B1"/>
    <w:rsid w:val="00033E9C"/>
    <w:rsid w:val="00035115"/>
    <w:rsid w:val="00035261"/>
    <w:rsid w:val="0003595F"/>
    <w:rsid w:val="00035A50"/>
    <w:rsid w:val="00037326"/>
    <w:rsid w:val="00040F1E"/>
    <w:rsid w:val="00041D26"/>
    <w:rsid w:val="000420AD"/>
    <w:rsid w:val="0004268D"/>
    <w:rsid w:val="00043446"/>
    <w:rsid w:val="00044464"/>
    <w:rsid w:val="000460E5"/>
    <w:rsid w:val="000467A0"/>
    <w:rsid w:val="00052910"/>
    <w:rsid w:val="00053A20"/>
    <w:rsid w:val="000541F3"/>
    <w:rsid w:val="000543E7"/>
    <w:rsid w:val="00055B2B"/>
    <w:rsid w:val="00056993"/>
    <w:rsid w:val="00056A3E"/>
    <w:rsid w:val="00061BCB"/>
    <w:rsid w:val="0006326C"/>
    <w:rsid w:val="00064F10"/>
    <w:rsid w:val="00065311"/>
    <w:rsid w:val="00065874"/>
    <w:rsid w:val="00070E21"/>
    <w:rsid w:val="00071121"/>
    <w:rsid w:val="000712EA"/>
    <w:rsid w:val="000718C1"/>
    <w:rsid w:val="000718FA"/>
    <w:rsid w:val="00071BAB"/>
    <w:rsid w:val="000720CA"/>
    <w:rsid w:val="00072251"/>
    <w:rsid w:val="00072274"/>
    <w:rsid w:val="00072CF8"/>
    <w:rsid w:val="000731DA"/>
    <w:rsid w:val="00073590"/>
    <w:rsid w:val="00073840"/>
    <w:rsid w:val="000756D1"/>
    <w:rsid w:val="00076B92"/>
    <w:rsid w:val="00081A1C"/>
    <w:rsid w:val="000828CE"/>
    <w:rsid w:val="00082992"/>
    <w:rsid w:val="000836E6"/>
    <w:rsid w:val="00083D0A"/>
    <w:rsid w:val="00085388"/>
    <w:rsid w:val="00086FE0"/>
    <w:rsid w:val="0008707B"/>
    <w:rsid w:val="00087821"/>
    <w:rsid w:val="00090D56"/>
    <w:rsid w:val="00090DA2"/>
    <w:rsid w:val="00091AE7"/>
    <w:rsid w:val="0009335A"/>
    <w:rsid w:val="00093963"/>
    <w:rsid w:val="00095E15"/>
    <w:rsid w:val="00097B3E"/>
    <w:rsid w:val="00097CA9"/>
    <w:rsid w:val="00097CCC"/>
    <w:rsid w:val="000A113A"/>
    <w:rsid w:val="000A2A8A"/>
    <w:rsid w:val="000A46F4"/>
    <w:rsid w:val="000A5278"/>
    <w:rsid w:val="000A6F17"/>
    <w:rsid w:val="000B040C"/>
    <w:rsid w:val="000B1FE1"/>
    <w:rsid w:val="000B2074"/>
    <w:rsid w:val="000B24F8"/>
    <w:rsid w:val="000B2525"/>
    <w:rsid w:val="000B2DE6"/>
    <w:rsid w:val="000B3D72"/>
    <w:rsid w:val="000B4891"/>
    <w:rsid w:val="000B550B"/>
    <w:rsid w:val="000B5741"/>
    <w:rsid w:val="000C07F0"/>
    <w:rsid w:val="000C0A3F"/>
    <w:rsid w:val="000C1BB6"/>
    <w:rsid w:val="000C2834"/>
    <w:rsid w:val="000C28CB"/>
    <w:rsid w:val="000C4175"/>
    <w:rsid w:val="000C49F2"/>
    <w:rsid w:val="000C621D"/>
    <w:rsid w:val="000C6870"/>
    <w:rsid w:val="000D04AF"/>
    <w:rsid w:val="000D2506"/>
    <w:rsid w:val="000D295D"/>
    <w:rsid w:val="000D3E06"/>
    <w:rsid w:val="000D3F70"/>
    <w:rsid w:val="000D4A58"/>
    <w:rsid w:val="000D5EE1"/>
    <w:rsid w:val="000D7838"/>
    <w:rsid w:val="000E01E2"/>
    <w:rsid w:val="000E109C"/>
    <w:rsid w:val="000E1405"/>
    <w:rsid w:val="000E161B"/>
    <w:rsid w:val="000E19A1"/>
    <w:rsid w:val="000E2525"/>
    <w:rsid w:val="000E326B"/>
    <w:rsid w:val="000E40A5"/>
    <w:rsid w:val="000E4261"/>
    <w:rsid w:val="000E46C0"/>
    <w:rsid w:val="000E60D3"/>
    <w:rsid w:val="000E6300"/>
    <w:rsid w:val="000F1264"/>
    <w:rsid w:val="000F1E4D"/>
    <w:rsid w:val="000F351B"/>
    <w:rsid w:val="000F48BB"/>
    <w:rsid w:val="000F49FA"/>
    <w:rsid w:val="000F4F85"/>
    <w:rsid w:val="000F6F57"/>
    <w:rsid w:val="000F7D0B"/>
    <w:rsid w:val="001037E8"/>
    <w:rsid w:val="00103DF0"/>
    <w:rsid w:val="00104F7C"/>
    <w:rsid w:val="00106AA3"/>
    <w:rsid w:val="00107F0F"/>
    <w:rsid w:val="00107F1F"/>
    <w:rsid w:val="00107F78"/>
    <w:rsid w:val="0011062C"/>
    <w:rsid w:val="00111138"/>
    <w:rsid w:val="00111D45"/>
    <w:rsid w:val="001123DF"/>
    <w:rsid w:val="00113832"/>
    <w:rsid w:val="001147BC"/>
    <w:rsid w:val="0011600F"/>
    <w:rsid w:val="00116664"/>
    <w:rsid w:val="001170C6"/>
    <w:rsid w:val="00117C23"/>
    <w:rsid w:val="0012002F"/>
    <w:rsid w:val="00120A73"/>
    <w:rsid w:val="00120EAB"/>
    <w:rsid w:val="00121512"/>
    <w:rsid w:val="00121D7B"/>
    <w:rsid w:val="001237CC"/>
    <w:rsid w:val="00123DD8"/>
    <w:rsid w:val="001244E0"/>
    <w:rsid w:val="001251E0"/>
    <w:rsid w:val="001253E4"/>
    <w:rsid w:val="001258B1"/>
    <w:rsid w:val="00125D19"/>
    <w:rsid w:val="00125F97"/>
    <w:rsid w:val="0012663D"/>
    <w:rsid w:val="00126CB0"/>
    <w:rsid w:val="001278EB"/>
    <w:rsid w:val="0013153D"/>
    <w:rsid w:val="00131AD0"/>
    <w:rsid w:val="00132502"/>
    <w:rsid w:val="001326F1"/>
    <w:rsid w:val="001349D4"/>
    <w:rsid w:val="00134DF8"/>
    <w:rsid w:val="001350A0"/>
    <w:rsid w:val="0013607C"/>
    <w:rsid w:val="00136CD0"/>
    <w:rsid w:val="00136DA6"/>
    <w:rsid w:val="0013775A"/>
    <w:rsid w:val="001402A1"/>
    <w:rsid w:val="0014337C"/>
    <w:rsid w:val="00144F47"/>
    <w:rsid w:val="00146724"/>
    <w:rsid w:val="00146BA9"/>
    <w:rsid w:val="001471F4"/>
    <w:rsid w:val="00147C42"/>
    <w:rsid w:val="00150E70"/>
    <w:rsid w:val="00150E7A"/>
    <w:rsid w:val="00151C1B"/>
    <w:rsid w:val="001520E5"/>
    <w:rsid w:val="00152BCD"/>
    <w:rsid w:val="00154FD9"/>
    <w:rsid w:val="00155207"/>
    <w:rsid w:val="001562C2"/>
    <w:rsid w:val="001565DC"/>
    <w:rsid w:val="001569BA"/>
    <w:rsid w:val="00156A3B"/>
    <w:rsid w:val="0015761E"/>
    <w:rsid w:val="0016047F"/>
    <w:rsid w:val="00161B33"/>
    <w:rsid w:val="001622D2"/>
    <w:rsid w:val="0016260B"/>
    <w:rsid w:val="00162E83"/>
    <w:rsid w:val="0016343C"/>
    <w:rsid w:val="001636FC"/>
    <w:rsid w:val="00163711"/>
    <w:rsid w:val="00164116"/>
    <w:rsid w:val="001647C6"/>
    <w:rsid w:val="00165344"/>
    <w:rsid w:val="0016567A"/>
    <w:rsid w:val="00170265"/>
    <w:rsid w:val="001706CE"/>
    <w:rsid w:val="00172DEB"/>
    <w:rsid w:val="00175362"/>
    <w:rsid w:val="001755F7"/>
    <w:rsid w:val="00177847"/>
    <w:rsid w:val="0017790B"/>
    <w:rsid w:val="0018100D"/>
    <w:rsid w:val="00181171"/>
    <w:rsid w:val="00181C71"/>
    <w:rsid w:val="00184330"/>
    <w:rsid w:val="001851F6"/>
    <w:rsid w:val="00185859"/>
    <w:rsid w:val="0018621F"/>
    <w:rsid w:val="001862FF"/>
    <w:rsid w:val="00186504"/>
    <w:rsid w:val="001879D3"/>
    <w:rsid w:val="00187FE1"/>
    <w:rsid w:val="0019048D"/>
    <w:rsid w:val="00191303"/>
    <w:rsid w:val="00191A76"/>
    <w:rsid w:val="00192F14"/>
    <w:rsid w:val="001933EF"/>
    <w:rsid w:val="001951AF"/>
    <w:rsid w:val="001968BA"/>
    <w:rsid w:val="001971FC"/>
    <w:rsid w:val="0019736D"/>
    <w:rsid w:val="001A34F8"/>
    <w:rsid w:val="001A5A79"/>
    <w:rsid w:val="001A6DF3"/>
    <w:rsid w:val="001A7984"/>
    <w:rsid w:val="001B0ABF"/>
    <w:rsid w:val="001B11D7"/>
    <w:rsid w:val="001B1783"/>
    <w:rsid w:val="001B1C54"/>
    <w:rsid w:val="001B22B2"/>
    <w:rsid w:val="001B2750"/>
    <w:rsid w:val="001B30B9"/>
    <w:rsid w:val="001B3AB0"/>
    <w:rsid w:val="001B3B16"/>
    <w:rsid w:val="001B401A"/>
    <w:rsid w:val="001B48BD"/>
    <w:rsid w:val="001B5C6C"/>
    <w:rsid w:val="001B627E"/>
    <w:rsid w:val="001B7DFC"/>
    <w:rsid w:val="001C0D43"/>
    <w:rsid w:val="001C179D"/>
    <w:rsid w:val="001C215F"/>
    <w:rsid w:val="001C2186"/>
    <w:rsid w:val="001C2263"/>
    <w:rsid w:val="001C22D7"/>
    <w:rsid w:val="001C3B4B"/>
    <w:rsid w:val="001C40EC"/>
    <w:rsid w:val="001C414B"/>
    <w:rsid w:val="001C4515"/>
    <w:rsid w:val="001C509B"/>
    <w:rsid w:val="001C606F"/>
    <w:rsid w:val="001C6B0E"/>
    <w:rsid w:val="001D177D"/>
    <w:rsid w:val="001D2060"/>
    <w:rsid w:val="001D432B"/>
    <w:rsid w:val="001D5306"/>
    <w:rsid w:val="001D63BC"/>
    <w:rsid w:val="001D6B1D"/>
    <w:rsid w:val="001D6DE6"/>
    <w:rsid w:val="001E12A3"/>
    <w:rsid w:val="001E1526"/>
    <w:rsid w:val="001E19A8"/>
    <w:rsid w:val="001E32C0"/>
    <w:rsid w:val="001E4283"/>
    <w:rsid w:val="001E513C"/>
    <w:rsid w:val="001E55C8"/>
    <w:rsid w:val="001E5D79"/>
    <w:rsid w:val="001E6EAA"/>
    <w:rsid w:val="001E72DC"/>
    <w:rsid w:val="001F41D8"/>
    <w:rsid w:val="001F5094"/>
    <w:rsid w:val="001F6807"/>
    <w:rsid w:val="001F6938"/>
    <w:rsid w:val="001F6997"/>
    <w:rsid w:val="001F6C71"/>
    <w:rsid w:val="001F7F70"/>
    <w:rsid w:val="002001BE"/>
    <w:rsid w:val="00201FAC"/>
    <w:rsid w:val="00202017"/>
    <w:rsid w:val="002027C0"/>
    <w:rsid w:val="00203A65"/>
    <w:rsid w:val="00204314"/>
    <w:rsid w:val="002046A9"/>
    <w:rsid w:val="00204FE2"/>
    <w:rsid w:val="00205065"/>
    <w:rsid w:val="00205751"/>
    <w:rsid w:val="00205C5D"/>
    <w:rsid w:val="00205CCA"/>
    <w:rsid w:val="00205FE4"/>
    <w:rsid w:val="0020721A"/>
    <w:rsid w:val="002101B9"/>
    <w:rsid w:val="00210FDB"/>
    <w:rsid w:val="00211A4C"/>
    <w:rsid w:val="002124A0"/>
    <w:rsid w:val="002132F3"/>
    <w:rsid w:val="00213946"/>
    <w:rsid w:val="00216A06"/>
    <w:rsid w:val="00217457"/>
    <w:rsid w:val="00217B03"/>
    <w:rsid w:val="00217DE0"/>
    <w:rsid w:val="00221CAF"/>
    <w:rsid w:val="00222746"/>
    <w:rsid w:val="0022418F"/>
    <w:rsid w:val="0022476F"/>
    <w:rsid w:val="00225832"/>
    <w:rsid w:val="00227D4F"/>
    <w:rsid w:val="00230B2A"/>
    <w:rsid w:val="00230C3A"/>
    <w:rsid w:val="00232E22"/>
    <w:rsid w:val="00233FF9"/>
    <w:rsid w:val="00235917"/>
    <w:rsid w:val="00241923"/>
    <w:rsid w:val="00243BE7"/>
    <w:rsid w:val="00244865"/>
    <w:rsid w:val="00244AB0"/>
    <w:rsid w:val="002453D5"/>
    <w:rsid w:val="002462BD"/>
    <w:rsid w:val="00247060"/>
    <w:rsid w:val="00250330"/>
    <w:rsid w:val="002513B2"/>
    <w:rsid w:val="00251ABA"/>
    <w:rsid w:val="00251B50"/>
    <w:rsid w:val="0025265C"/>
    <w:rsid w:val="0025267D"/>
    <w:rsid w:val="00252928"/>
    <w:rsid w:val="00253FE0"/>
    <w:rsid w:val="00257C5C"/>
    <w:rsid w:val="00260166"/>
    <w:rsid w:val="00263CEF"/>
    <w:rsid w:val="0026680E"/>
    <w:rsid w:val="00271159"/>
    <w:rsid w:val="00271D8F"/>
    <w:rsid w:val="0027277C"/>
    <w:rsid w:val="00273B43"/>
    <w:rsid w:val="0027470D"/>
    <w:rsid w:val="00274BE3"/>
    <w:rsid w:val="00275505"/>
    <w:rsid w:val="00275DA7"/>
    <w:rsid w:val="00280D56"/>
    <w:rsid w:val="00284597"/>
    <w:rsid w:val="00290C39"/>
    <w:rsid w:val="00290F33"/>
    <w:rsid w:val="002917EA"/>
    <w:rsid w:val="00291D29"/>
    <w:rsid w:val="002924B3"/>
    <w:rsid w:val="00292E01"/>
    <w:rsid w:val="00293DD8"/>
    <w:rsid w:val="0029751C"/>
    <w:rsid w:val="00297A74"/>
    <w:rsid w:val="002A0211"/>
    <w:rsid w:val="002A2053"/>
    <w:rsid w:val="002A29AA"/>
    <w:rsid w:val="002A3424"/>
    <w:rsid w:val="002A3F46"/>
    <w:rsid w:val="002A4318"/>
    <w:rsid w:val="002A5B09"/>
    <w:rsid w:val="002B044A"/>
    <w:rsid w:val="002B26F1"/>
    <w:rsid w:val="002B29C9"/>
    <w:rsid w:val="002B2D60"/>
    <w:rsid w:val="002B3C8A"/>
    <w:rsid w:val="002B5912"/>
    <w:rsid w:val="002C0631"/>
    <w:rsid w:val="002C0AAE"/>
    <w:rsid w:val="002C1CE3"/>
    <w:rsid w:val="002C36C1"/>
    <w:rsid w:val="002C3BEF"/>
    <w:rsid w:val="002C4247"/>
    <w:rsid w:val="002C43AD"/>
    <w:rsid w:val="002C5161"/>
    <w:rsid w:val="002C58DA"/>
    <w:rsid w:val="002C5CFA"/>
    <w:rsid w:val="002C65D1"/>
    <w:rsid w:val="002C6AE7"/>
    <w:rsid w:val="002C7412"/>
    <w:rsid w:val="002D202E"/>
    <w:rsid w:val="002D207C"/>
    <w:rsid w:val="002D23F0"/>
    <w:rsid w:val="002D2827"/>
    <w:rsid w:val="002D2C73"/>
    <w:rsid w:val="002D2FBE"/>
    <w:rsid w:val="002D400D"/>
    <w:rsid w:val="002D589E"/>
    <w:rsid w:val="002D5F3E"/>
    <w:rsid w:val="002D690F"/>
    <w:rsid w:val="002E06B9"/>
    <w:rsid w:val="002E0D1F"/>
    <w:rsid w:val="002E1451"/>
    <w:rsid w:val="002F078C"/>
    <w:rsid w:val="002F0A5C"/>
    <w:rsid w:val="002F1441"/>
    <w:rsid w:val="002F2767"/>
    <w:rsid w:val="002F2AAC"/>
    <w:rsid w:val="002F2E01"/>
    <w:rsid w:val="002F2EC9"/>
    <w:rsid w:val="002F490A"/>
    <w:rsid w:val="00302F5F"/>
    <w:rsid w:val="00303A1A"/>
    <w:rsid w:val="00304E39"/>
    <w:rsid w:val="00305A5D"/>
    <w:rsid w:val="00306DD3"/>
    <w:rsid w:val="003078D4"/>
    <w:rsid w:val="00310142"/>
    <w:rsid w:val="00310229"/>
    <w:rsid w:val="003109CD"/>
    <w:rsid w:val="00310C1D"/>
    <w:rsid w:val="00312185"/>
    <w:rsid w:val="00312997"/>
    <w:rsid w:val="00312D8C"/>
    <w:rsid w:val="00313752"/>
    <w:rsid w:val="00313E05"/>
    <w:rsid w:val="0031464D"/>
    <w:rsid w:val="0031564C"/>
    <w:rsid w:val="003170F0"/>
    <w:rsid w:val="00317CA4"/>
    <w:rsid w:val="0032017C"/>
    <w:rsid w:val="003202F7"/>
    <w:rsid w:val="00320BAC"/>
    <w:rsid w:val="00323185"/>
    <w:rsid w:val="003234DA"/>
    <w:rsid w:val="00325995"/>
    <w:rsid w:val="0032615A"/>
    <w:rsid w:val="003261F2"/>
    <w:rsid w:val="0032629E"/>
    <w:rsid w:val="0032706E"/>
    <w:rsid w:val="00327E32"/>
    <w:rsid w:val="00331AB0"/>
    <w:rsid w:val="0033324D"/>
    <w:rsid w:val="00333F78"/>
    <w:rsid w:val="00334435"/>
    <w:rsid w:val="00334763"/>
    <w:rsid w:val="003355AB"/>
    <w:rsid w:val="00336463"/>
    <w:rsid w:val="0033700A"/>
    <w:rsid w:val="003378EF"/>
    <w:rsid w:val="00340037"/>
    <w:rsid w:val="00341A38"/>
    <w:rsid w:val="0034395D"/>
    <w:rsid w:val="00343C6B"/>
    <w:rsid w:val="00344045"/>
    <w:rsid w:val="003443C6"/>
    <w:rsid w:val="003463D5"/>
    <w:rsid w:val="0034740E"/>
    <w:rsid w:val="003474A3"/>
    <w:rsid w:val="003474AA"/>
    <w:rsid w:val="00347C6D"/>
    <w:rsid w:val="00350209"/>
    <w:rsid w:val="003519FB"/>
    <w:rsid w:val="00351EB3"/>
    <w:rsid w:val="003520DB"/>
    <w:rsid w:val="0035282B"/>
    <w:rsid w:val="00354409"/>
    <w:rsid w:val="00354577"/>
    <w:rsid w:val="00354E4F"/>
    <w:rsid w:val="00354F76"/>
    <w:rsid w:val="00355E02"/>
    <w:rsid w:val="00357183"/>
    <w:rsid w:val="00357490"/>
    <w:rsid w:val="00360452"/>
    <w:rsid w:val="0036099A"/>
    <w:rsid w:val="003609DF"/>
    <w:rsid w:val="00363C15"/>
    <w:rsid w:val="00365442"/>
    <w:rsid w:val="003654E0"/>
    <w:rsid w:val="00365A34"/>
    <w:rsid w:val="00365B58"/>
    <w:rsid w:val="0036629F"/>
    <w:rsid w:val="00366C28"/>
    <w:rsid w:val="00371F4C"/>
    <w:rsid w:val="003720FE"/>
    <w:rsid w:val="00372E16"/>
    <w:rsid w:val="003731A3"/>
    <w:rsid w:val="00375C5C"/>
    <w:rsid w:val="003773D4"/>
    <w:rsid w:val="003816BB"/>
    <w:rsid w:val="00381906"/>
    <w:rsid w:val="00383816"/>
    <w:rsid w:val="00385DA7"/>
    <w:rsid w:val="00385E75"/>
    <w:rsid w:val="00392901"/>
    <w:rsid w:val="00393817"/>
    <w:rsid w:val="0039659A"/>
    <w:rsid w:val="00396C77"/>
    <w:rsid w:val="00397A45"/>
    <w:rsid w:val="003A1ACB"/>
    <w:rsid w:val="003A271E"/>
    <w:rsid w:val="003A29AE"/>
    <w:rsid w:val="003A3563"/>
    <w:rsid w:val="003A367A"/>
    <w:rsid w:val="003A49D6"/>
    <w:rsid w:val="003A6250"/>
    <w:rsid w:val="003A7BBC"/>
    <w:rsid w:val="003B0829"/>
    <w:rsid w:val="003B12B6"/>
    <w:rsid w:val="003B163A"/>
    <w:rsid w:val="003B4519"/>
    <w:rsid w:val="003B4A12"/>
    <w:rsid w:val="003B4AD1"/>
    <w:rsid w:val="003B4D91"/>
    <w:rsid w:val="003B573B"/>
    <w:rsid w:val="003B6747"/>
    <w:rsid w:val="003B6BDA"/>
    <w:rsid w:val="003B7C81"/>
    <w:rsid w:val="003B7D04"/>
    <w:rsid w:val="003C01AB"/>
    <w:rsid w:val="003C0FD1"/>
    <w:rsid w:val="003C241F"/>
    <w:rsid w:val="003C269E"/>
    <w:rsid w:val="003C26D2"/>
    <w:rsid w:val="003C2A50"/>
    <w:rsid w:val="003C3528"/>
    <w:rsid w:val="003C36AB"/>
    <w:rsid w:val="003C56E5"/>
    <w:rsid w:val="003C6152"/>
    <w:rsid w:val="003C66C0"/>
    <w:rsid w:val="003C6B6F"/>
    <w:rsid w:val="003C6E7E"/>
    <w:rsid w:val="003C7AAF"/>
    <w:rsid w:val="003D037D"/>
    <w:rsid w:val="003D38CE"/>
    <w:rsid w:val="003D3B45"/>
    <w:rsid w:val="003D40D2"/>
    <w:rsid w:val="003D57E8"/>
    <w:rsid w:val="003D58F3"/>
    <w:rsid w:val="003D6083"/>
    <w:rsid w:val="003D6345"/>
    <w:rsid w:val="003D66A9"/>
    <w:rsid w:val="003D6E16"/>
    <w:rsid w:val="003E207B"/>
    <w:rsid w:val="003E21B1"/>
    <w:rsid w:val="003E32BB"/>
    <w:rsid w:val="003E3DE9"/>
    <w:rsid w:val="003E3F07"/>
    <w:rsid w:val="003E4B38"/>
    <w:rsid w:val="003E52D9"/>
    <w:rsid w:val="003E6387"/>
    <w:rsid w:val="003F0767"/>
    <w:rsid w:val="003F0855"/>
    <w:rsid w:val="003F225B"/>
    <w:rsid w:val="003F2980"/>
    <w:rsid w:val="003F3C9C"/>
    <w:rsid w:val="003F4DCB"/>
    <w:rsid w:val="003F4DDE"/>
    <w:rsid w:val="003F4EAF"/>
    <w:rsid w:val="003F6E63"/>
    <w:rsid w:val="003F792D"/>
    <w:rsid w:val="003F7C99"/>
    <w:rsid w:val="00403107"/>
    <w:rsid w:val="0040397B"/>
    <w:rsid w:val="00404DA3"/>
    <w:rsid w:val="00405B8A"/>
    <w:rsid w:val="00405F52"/>
    <w:rsid w:val="004067AC"/>
    <w:rsid w:val="00407088"/>
    <w:rsid w:val="0041097F"/>
    <w:rsid w:val="00410D8C"/>
    <w:rsid w:val="004126FC"/>
    <w:rsid w:val="004151E0"/>
    <w:rsid w:val="00415C5A"/>
    <w:rsid w:val="004173D2"/>
    <w:rsid w:val="00417C90"/>
    <w:rsid w:val="0042044B"/>
    <w:rsid w:val="00421BFF"/>
    <w:rsid w:val="00422BF9"/>
    <w:rsid w:val="00422CB1"/>
    <w:rsid w:val="00423376"/>
    <w:rsid w:val="00424981"/>
    <w:rsid w:val="00424F83"/>
    <w:rsid w:val="004260CA"/>
    <w:rsid w:val="00430B5B"/>
    <w:rsid w:val="004312F6"/>
    <w:rsid w:val="00432480"/>
    <w:rsid w:val="00432DC3"/>
    <w:rsid w:val="00433715"/>
    <w:rsid w:val="00434BF1"/>
    <w:rsid w:val="0043530F"/>
    <w:rsid w:val="0043617E"/>
    <w:rsid w:val="004365F0"/>
    <w:rsid w:val="00436809"/>
    <w:rsid w:val="00440BFF"/>
    <w:rsid w:val="00441A2B"/>
    <w:rsid w:val="00442566"/>
    <w:rsid w:val="004438A0"/>
    <w:rsid w:val="00443E87"/>
    <w:rsid w:val="004446A5"/>
    <w:rsid w:val="004461BB"/>
    <w:rsid w:val="00446C5C"/>
    <w:rsid w:val="00447FF2"/>
    <w:rsid w:val="00450EB1"/>
    <w:rsid w:val="004537FA"/>
    <w:rsid w:val="00453862"/>
    <w:rsid w:val="004546F3"/>
    <w:rsid w:val="00454947"/>
    <w:rsid w:val="00454A06"/>
    <w:rsid w:val="00455078"/>
    <w:rsid w:val="0045553C"/>
    <w:rsid w:val="00455A13"/>
    <w:rsid w:val="0045629D"/>
    <w:rsid w:val="00456C39"/>
    <w:rsid w:val="0045730A"/>
    <w:rsid w:val="00460CA3"/>
    <w:rsid w:val="00460E8E"/>
    <w:rsid w:val="00461840"/>
    <w:rsid w:val="004619BE"/>
    <w:rsid w:val="00462D9C"/>
    <w:rsid w:val="00463B39"/>
    <w:rsid w:val="00463EB6"/>
    <w:rsid w:val="0046404D"/>
    <w:rsid w:val="004644C4"/>
    <w:rsid w:val="00464B11"/>
    <w:rsid w:val="00464D5A"/>
    <w:rsid w:val="00464DC4"/>
    <w:rsid w:val="004650A2"/>
    <w:rsid w:val="00466687"/>
    <w:rsid w:val="00466E98"/>
    <w:rsid w:val="00467C14"/>
    <w:rsid w:val="0047341E"/>
    <w:rsid w:val="00474E83"/>
    <w:rsid w:val="00476484"/>
    <w:rsid w:val="00480A11"/>
    <w:rsid w:val="00481B9D"/>
    <w:rsid w:val="00482BD3"/>
    <w:rsid w:val="00483657"/>
    <w:rsid w:val="00483D04"/>
    <w:rsid w:val="00483DDC"/>
    <w:rsid w:val="00484873"/>
    <w:rsid w:val="00484D6D"/>
    <w:rsid w:val="00490A88"/>
    <w:rsid w:val="00491A06"/>
    <w:rsid w:val="00492947"/>
    <w:rsid w:val="00495C7E"/>
    <w:rsid w:val="00495DDC"/>
    <w:rsid w:val="00495FC2"/>
    <w:rsid w:val="00497209"/>
    <w:rsid w:val="00497F9E"/>
    <w:rsid w:val="004A0708"/>
    <w:rsid w:val="004A1A79"/>
    <w:rsid w:val="004A3A82"/>
    <w:rsid w:val="004A4537"/>
    <w:rsid w:val="004A5967"/>
    <w:rsid w:val="004A5EA4"/>
    <w:rsid w:val="004A608E"/>
    <w:rsid w:val="004B0750"/>
    <w:rsid w:val="004B1A99"/>
    <w:rsid w:val="004B2E95"/>
    <w:rsid w:val="004B3740"/>
    <w:rsid w:val="004B43CE"/>
    <w:rsid w:val="004B49AF"/>
    <w:rsid w:val="004B5F83"/>
    <w:rsid w:val="004B6163"/>
    <w:rsid w:val="004B7457"/>
    <w:rsid w:val="004B756A"/>
    <w:rsid w:val="004B79F5"/>
    <w:rsid w:val="004C00FB"/>
    <w:rsid w:val="004C04F5"/>
    <w:rsid w:val="004C2061"/>
    <w:rsid w:val="004C437D"/>
    <w:rsid w:val="004C721C"/>
    <w:rsid w:val="004C7E70"/>
    <w:rsid w:val="004D05ED"/>
    <w:rsid w:val="004D091F"/>
    <w:rsid w:val="004D0959"/>
    <w:rsid w:val="004D1EF2"/>
    <w:rsid w:val="004D3218"/>
    <w:rsid w:val="004D41B3"/>
    <w:rsid w:val="004D45BB"/>
    <w:rsid w:val="004D4A11"/>
    <w:rsid w:val="004D55DF"/>
    <w:rsid w:val="004D5D96"/>
    <w:rsid w:val="004E115C"/>
    <w:rsid w:val="004E1AA1"/>
    <w:rsid w:val="004E1DE9"/>
    <w:rsid w:val="004E24CE"/>
    <w:rsid w:val="004E481D"/>
    <w:rsid w:val="004E4F5E"/>
    <w:rsid w:val="004E5FC2"/>
    <w:rsid w:val="004E7A1F"/>
    <w:rsid w:val="004E7F3C"/>
    <w:rsid w:val="004F0BA9"/>
    <w:rsid w:val="004F212E"/>
    <w:rsid w:val="004F2821"/>
    <w:rsid w:val="004F34F1"/>
    <w:rsid w:val="004F36EE"/>
    <w:rsid w:val="004F6589"/>
    <w:rsid w:val="004F684A"/>
    <w:rsid w:val="004F7A88"/>
    <w:rsid w:val="004F7B5C"/>
    <w:rsid w:val="005000E4"/>
    <w:rsid w:val="00500DA8"/>
    <w:rsid w:val="00501F29"/>
    <w:rsid w:val="00504B20"/>
    <w:rsid w:val="005061DC"/>
    <w:rsid w:val="005068DF"/>
    <w:rsid w:val="00510DD4"/>
    <w:rsid w:val="005114E4"/>
    <w:rsid w:val="005138B6"/>
    <w:rsid w:val="00513AC1"/>
    <w:rsid w:val="00514B3B"/>
    <w:rsid w:val="00514C57"/>
    <w:rsid w:val="00514FAF"/>
    <w:rsid w:val="00515B80"/>
    <w:rsid w:val="00516888"/>
    <w:rsid w:val="00516E31"/>
    <w:rsid w:val="005171E9"/>
    <w:rsid w:val="005172C7"/>
    <w:rsid w:val="00517363"/>
    <w:rsid w:val="00517E8D"/>
    <w:rsid w:val="0052129D"/>
    <w:rsid w:val="00521A0B"/>
    <w:rsid w:val="0052237C"/>
    <w:rsid w:val="00522DCD"/>
    <w:rsid w:val="0052395E"/>
    <w:rsid w:val="00523F43"/>
    <w:rsid w:val="00524067"/>
    <w:rsid w:val="00526558"/>
    <w:rsid w:val="00526699"/>
    <w:rsid w:val="00526996"/>
    <w:rsid w:val="00530A23"/>
    <w:rsid w:val="0053186C"/>
    <w:rsid w:val="00531A7E"/>
    <w:rsid w:val="00531F30"/>
    <w:rsid w:val="00531FA2"/>
    <w:rsid w:val="0053247C"/>
    <w:rsid w:val="00532DDF"/>
    <w:rsid w:val="00534A74"/>
    <w:rsid w:val="00535941"/>
    <w:rsid w:val="00535A75"/>
    <w:rsid w:val="0053606A"/>
    <w:rsid w:val="00536464"/>
    <w:rsid w:val="0053690D"/>
    <w:rsid w:val="005371E2"/>
    <w:rsid w:val="00537B0F"/>
    <w:rsid w:val="005406FE"/>
    <w:rsid w:val="00542557"/>
    <w:rsid w:val="0054434A"/>
    <w:rsid w:val="00545442"/>
    <w:rsid w:val="00546D62"/>
    <w:rsid w:val="00547ED0"/>
    <w:rsid w:val="005507AC"/>
    <w:rsid w:val="0055113D"/>
    <w:rsid w:val="00553A56"/>
    <w:rsid w:val="00553C23"/>
    <w:rsid w:val="00553E1B"/>
    <w:rsid w:val="005540D3"/>
    <w:rsid w:val="00554570"/>
    <w:rsid w:val="005545D8"/>
    <w:rsid w:val="00554762"/>
    <w:rsid w:val="00554C92"/>
    <w:rsid w:val="00557564"/>
    <w:rsid w:val="005646F1"/>
    <w:rsid w:val="005650B9"/>
    <w:rsid w:val="005653DC"/>
    <w:rsid w:val="00565D23"/>
    <w:rsid w:val="0056639F"/>
    <w:rsid w:val="00567E9C"/>
    <w:rsid w:val="00567F12"/>
    <w:rsid w:val="00571166"/>
    <w:rsid w:val="00573439"/>
    <w:rsid w:val="005743F5"/>
    <w:rsid w:val="00575F88"/>
    <w:rsid w:val="0057745B"/>
    <w:rsid w:val="00580245"/>
    <w:rsid w:val="00580AD7"/>
    <w:rsid w:val="00581443"/>
    <w:rsid w:val="00582000"/>
    <w:rsid w:val="0058486C"/>
    <w:rsid w:val="00584B71"/>
    <w:rsid w:val="005857C4"/>
    <w:rsid w:val="0058591D"/>
    <w:rsid w:val="00587BC9"/>
    <w:rsid w:val="00587CA1"/>
    <w:rsid w:val="00590024"/>
    <w:rsid w:val="00591066"/>
    <w:rsid w:val="0059197D"/>
    <w:rsid w:val="005929A3"/>
    <w:rsid w:val="00595095"/>
    <w:rsid w:val="00595707"/>
    <w:rsid w:val="0059689B"/>
    <w:rsid w:val="00596F73"/>
    <w:rsid w:val="00597B1C"/>
    <w:rsid w:val="005A034F"/>
    <w:rsid w:val="005A0824"/>
    <w:rsid w:val="005A0F02"/>
    <w:rsid w:val="005A0F9F"/>
    <w:rsid w:val="005A1F18"/>
    <w:rsid w:val="005A2008"/>
    <w:rsid w:val="005A2BA7"/>
    <w:rsid w:val="005A3493"/>
    <w:rsid w:val="005A4246"/>
    <w:rsid w:val="005A4641"/>
    <w:rsid w:val="005A4BA0"/>
    <w:rsid w:val="005A5ED4"/>
    <w:rsid w:val="005A669A"/>
    <w:rsid w:val="005A6E89"/>
    <w:rsid w:val="005B0C01"/>
    <w:rsid w:val="005B23CA"/>
    <w:rsid w:val="005B47F6"/>
    <w:rsid w:val="005B79AD"/>
    <w:rsid w:val="005C0E14"/>
    <w:rsid w:val="005C0E7A"/>
    <w:rsid w:val="005C1F19"/>
    <w:rsid w:val="005C1F2C"/>
    <w:rsid w:val="005C2FF4"/>
    <w:rsid w:val="005C3B0D"/>
    <w:rsid w:val="005C4892"/>
    <w:rsid w:val="005C5F71"/>
    <w:rsid w:val="005C6F94"/>
    <w:rsid w:val="005C7385"/>
    <w:rsid w:val="005D07F3"/>
    <w:rsid w:val="005D16D4"/>
    <w:rsid w:val="005D1B84"/>
    <w:rsid w:val="005D26DF"/>
    <w:rsid w:val="005D2E52"/>
    <w:rsid w:val="005D3234"/>
    <w:rsid w:val="005D37A5"/>
    <w:rsid w:val="005D4A9F"/>
    <w:rsid w:val="005D53B9"/>
    <w:rsid w:val="005D57B5"/>
    <w:rsid w:val="005D721D"/>
    <w:rsid w:val="005D7862"/>
    <w:rsid w:val="005E02EF"/>
    <w:rsid w:val="005E1BFC"/>
    <w:rsid w:val="005E2094"/>
    <w:rsid w:val="005E2F9C"/>
    <w:rsid w:val="005E5C5C"/>
    <w:rsid w:val="005E5EE8"/>
    <w:rsid w:val="005E689B"/>
    <w:rsid w:val="005E7975"/>
    <w:rsid w:val="005F319E"/>
    <w:rsid w:val="005F4C0A"/>
    <w:rsid w:val="00600DFC"/>
    <w:rsid w:val="00601D0F"/>
    <w:rsid w:val="00602AA2"/>
    <w:rsid w:val="00602D35"/>
    <w:rsid w:val="00602FBE"/>
    <w:rsid w:val="0060422B"/>
    <w:rsid w:val="00604C14"/>
    <w:rsid w:val="00604CE0"/>
    <w:rsid w:val="00605058"/>
    <w:rsid w:val="006065A5"/>
    <w:rsid w:val="00607BA1"/>
    <w:rsid w:val="006107AB"/>
    <w:rsid w:val="006111CC"/>
    <w:rsid w:val="00611B5C"/>
    <w:rsid w:val="006121D2"/>
    <w:rsid w:val="006121F0"/>
    <w:rsid w:val="006178D3"/>
    <w:rsid w:val="00617A63"/>
    <w:rsid w:val="00617A8C"/>
    <w:rsid w:val="00617BA7"/>
    <w:rsid w:val="00620A33"/>
    <w:rsid w:val="00621210"/>
    <w:rsid w:val="0062355F"/>
    <w:rsid w:val="006241F9"/>
    <w:rsid w:val="00624D69"/>
    <w:rsid w:val="00630493"/>
    <w:rsid w:val="006308AC"/>
    <w:rsid w:val="00630DD1"/>
    <w:rsid w:val="00632C6D"/>
    <w:rsid w:val="00633936"/>
    <w:rsid w:val="00633B3A"/>
    <w:rsid w:val="00633CD5"/>
    <w:rsid w:val="00633D0E"/>
    <w:rsid w:val="0063780C"/>
    <w:rsid w:val="00640523"/>
    <w:rsid w:val="0064058E"/>
    <w:rsid w:val="00642AED"/>
    <w:rsid w:val="00644E6E"/>
    <w:rsid w:val="00645443"/>
    <w:rsid w:val="0064548D"/>
    <w:rsid w:val="0064581E"/>
    <w:rsid w:val="0064695A"/>
    <w:rsid w:val="006505A3"/>
    <w:rsid w:val="00650972"/>
    <w:rsid w:val="00650E70"/>
    <w:rsid w:val="0065316B"/>
    <w:rsid w:val="006534C2"/>
    <w:rsid w:val="006535BF"/>
    <w:rsid w:val="00653D33"/>
    <w:rsid w:val="006544FF"/>
    <w:rsid w:val="006567E4"/>
    <w:rsid w:val="00656B1F"/>
    <w:rsid w:val="00657E40"/>
    <w:rsid w:val="00657F5B"/>
    <w:rsid w:val="006606B6"/>
    <w:rsid w:val="0066140E"/>
    <w:rsid w:val="0066176F"/>
    <w:rsid w:val="00661C7C"/>
    <w:rsid w:val="0066291C"/>
    <w:rsid w:val="00662FBB"/>
    <w:rsid w:val="00664E93"/>
    <w:rsid w:val="00664F7E"/>
    <w:rsid w:val="00665154"/>
    <w:rsid w:val="00667608"/>
    <w:rsid w:val="006679A8"/>
    <w:rsid w:val="00671A3C"/>
    <w:rsid w:val="00671CE0"/>
    <w:rsid w:val="006737C0"/>
    <w:rsid w:val="006762FF"/>
    <w:rsid w:val="00677AAF"/>
    <w:rsid w:val="00677ECE"/>
    <w:rsid w:val="006802CD"/>
    <w:rsid w:val="00680389"/>
    <w:rsid w:val="00682248"/>
    <w:rsid w:val="00682C3B"/>
    <w:rsid w:val="0068390A"/>
    <w:rsid w:val="006847D0"/>
    <w:rsid w:val="00686180"/>
    <w:rsid w:val="00694038"/>
    <w:rsid w:val="00694446"/>
    <w:rsid w:val="0069670B"/>
    <w:rsid w:val="006A0DB3"/>
    <w:rsid w:val="006A16EA"/>
    <w:rsid w:val="006A17DB"/>
    <w:rsid w:val="006A2447"/>
    <w:rsid w:val="006A2520"/>
    <w:rsid w:val="006A3392"/>
    <w:rsid w:val="006A3642"/>
    <w:rsid w:val="006A67E8"/>
    <w:rsid w:val="006B02FF"/>
    <w:rsid w:val="006B150F"/>
    <w:rsid w:val="006B1B20"/>
    <w:rsid w:val="006B1EE9"/>
    <w:rsid w:val="006B2B70"/>
    <w:rsid w:val="006B4669"/>
    <w:rsid w:val="006B5781"/>
    <w:rsid w:val="006B7A15"/>
    <w:rsid w:val="006C1110"/>
    <w:rsid w:val="006C158E"/>
    <w:rsid w:val="006C21A2"/>
    <w:rsid w:val="006C381E"/>
    <w:rsid w:val="006C5A1A"/>
    <w:rsid w:val="006C5E75"/>
    <w:rsid w:val="006C7845"/>
    <w:rsid w:val="006D0DB1"/>
    <w:rsid w:val="006D1091"/>
    <w:rsid w:val="006D19AD"/>
    <w:rsid w:val="006D352C"/>
    <w:rsid w:val="006D3BAD"/>
    <w:rsid w:val="006D5CB1"/>
    <w:rsid w:val="006E0EC1"/>
    <w:rsid w:val="006E1991"/>
    <w:rsid w:val="006E1BE9"/>
    <w:rsid w:val="006E1BEB"/>
    <w:rsid w:val="006E20CF"/>
    <w:rsid w:val="006E3547"/>
    <w:rsid w:val="006E44C0"/>
    <w:rsid w:val="006E56DE"/>
    <w:rsid w:val="006E61E3"/>
    <w:rsid w:val="006E6D0E"/>
    <w:rsid w:val="006E6D7B"/>
    <w:rsid w:val="006E6E4E"/>
    <w:rsid w:val="006F1468"/>
    <w:rsid w:val="006F19B3"/>
    <w:rsid w:val="006F3D5F"/>
    <w:rsid w:val="006F65EA"/>
    <w:rsid w:val="006F6BCB"/>
    <w:rsid w:val="006F7719"/>
    <w:rsid w:val="00700CAE"/>
    <w:rsid w:val="007013C7"/>
    <w:rsid w:val="00701F8A"/>
    <w:rsid w:val="0070238D"/>
    <w:rsid w:val="00703764"/>
    <w:rsid w:val="00703A81"/>
    <w:rsid w:val="00704306"/>
    <w:rsid w:val="0071263C"/>
    <w:rsid w:val="00712FF5"/>
    <w:rsid w:val="007133E8"/>
    <w:rsid w:val="007145F7"/>
    <w:rsid w:val="00714DBA"/>
    <w:rsid w:val="00715213"/>
    <w:rsid w:val="007203A5"/>
    <w:rsid w:val="00720C09"/>
    <w:rsid w:val="00722678"/>
    <w:rsid w:val="00723DB9"/>
    <w:rsid w:val="00724130"/>
    <w:rsid w:val="00725313"/>
    <w:rsid w:val="00725A5D"/>
    <w:rsid w:val="00725DC4"/>
    <w:rsid w:val="00726435"/>
    <w:rsid w:val="00730835"/>
    <w:rsid w:val="00730BC7"/>
    <w:rsid w:val="00731D33"/>
    <w:rsid w:val="007330CC"/>
    <w:rsid w:val="007336BF"/>
    <w:rsid w:val="00733B65"/>
    <w:rsid w:val="00735112"/>
    <w:rsid w:val="00737263"/>
    <w:rsid w:val="00737712"/>
    <w:rsid w:val="007379C9"/>
    <w:rsid w:val="00743F8F"/>
    <w:rsid w:val="00745569"/>
    <w:rsid w:val="00745641"/>
    <w:rsid w:val="00745A13"/>
    <w:rsid w:val="00751503"/>
    <w:rsid w:val="00751675"/>
    <w:rsid w:val="00751B2F"/>
    <w:rsid w:val="00753CFB"/>
    <w:rsid w:val="00754BC4"/>
    <w:rsid w:val="00754DE7"/>
    <w:rsid w:val="0076005D"/>
    <w:rsid w:val="00760877"/>
    <w:rsid w:val="0076108F"/>
    <w:rsid w:val="007620FD"/>
    <w:rsid w:val="00763058"/>
    <w:rsid w:val="007630B8"/>
    <w:rsid w:val="00766703"/>
    <w:rsid w:val="0076751F"/>
    <w:rsid w:val="00767EF6"/>
    <w:rsid w:val="007707F9"/>
    <w:rsid w:val="00770B2A"/>
    <w:rsid w:val="00770C56"/>
    <w:rsid w:val="00771042"/>
    <w:rsid w:val="007722A6"/>
    <w:rsid w:val="00774C2A"/>
    <w:rsid w:val="00774F42"/>
    <w:rsid w:val="00775A29"/>
    <w:rsid w:val="00776107"/>
    <w:rsid w:val="00784763"/>
    <w:rsid w:val="007849A7"/>
    <w:rsid w:val="00785BA1"/>
    <w:rsid w:val="007866B7"/>
    <w:rsid w:val="0078761E"/>
    <w:rsid w:val="0079041B"/>
    <w:rsid w:val="00790853"/>
    <w:rsid w:val="00791921"/>
    <w:rsid w:val="0079352F"/>
    <w:rsid w:val="00794EAE"/>
    <w:rsid w:val="00795228"/>
    <w:rsid w:val="007955E1"/>
    <w:rsid w:val="00795C58"/>
    <w:rsid w:val="00797A91"/>
    <w:rsid w:val="00797ACA"/>
    <w:rsid w:val="00797F3A"/>
    <w:rsid w:val="00797FEB"/>
    <w:rsid w:val="007A0318"/>
    <w:rsid w:val="007A2585"/>
    <w:rsid w:val="007A26B9"/>
    <w:rsid w:val="007A35C2"/>
    <w:rsid w:val="007A3EF1"/>
    <w:rsid w:val="007A4652"/>
    <w:rsid w:val="007A49A6"/>
    <w:rsid w:val="007A5B42"/>
    <w:rsid w:val="007A635C"/>
    <w:rsid w:val="007A6F35"/>
    <w:rsid w:val="007A7D46"/>
    <w:rsid w:val="007A7E9D"/>
    <w:rsid w:val="007B064A"/>
    <w:rsid w:val="007B07ED"/>
    <w:rsid w:val="007B136F"/>
    <w:rsid w:val="007B228F"/>
    <w:rsid w:val="007B3293"/>
    <w:rsid w:val="007B4602"/>
    <w:rsid w:val="007B4F32"/>
    <w:rsid w:val="007B5473"/>
    <w:rsid w:val="007B760F"/>
    <w:rsid w:val="007B78BB"/>
    <w:rsid w:val="007B7A5B"/>
    <w:rsid w:val="007B7A6B"/>
    <w:rsid w:val="007C28F3"/>
    <w:rsid w:val="007C2A47"/>
    <w:rsid w:val="007C33DB"/>
    <w:rsid w:val="007C4074"/>
    <w:rsid w:val="007C463B"/>
    <w:rsid w:val="007C4CB6"/>
    <w:rsid w:val="007C6E67"/>
    <w:rsid w:val="007C7BFE"/>
    <w:rsid w:val="007D0008"/>
    <w:rsid w:val="007D0D10"/>
    <w:rsid w:val="007D1E7C"/>
    <w:rsid w:val="007D2316"/>
    <w:rsid w:val="007D2762"/>
    <w:rsid w:val="007D454C"/>
    <w:rsid w:val="007D457D"/>
    <w:rsid w:val="007D4DD9"/>
    <w:rsid w:val="007D5360"/>
    <w:rsid w:val="007D54FA"/>
    <w:rsid w:val="007D5BBD"/>
    <w:rsid w:val="007D6BEA"/>
    <w:rsid w:val="007D6F62"/>
    <w:rsid w:val="007D700C"/>
    <w:rsid w:val="007E1A78"/>
    <w:rsid w:val="007E1D1E"/>
    <w:rsid w:val="007E2DCA"/>
    <w:rsid w:val="007E31E6"/>
    <w:rsid w:val="007E3243"/>
    <w:rsid w:val="007E5DA5"/>
    <w:rsid w:val="007E653E"/>
    <w:rsid w:val="007E680D"/>
    <w:rsid w:val="007E6F76"/>
    <w:rsid w:val="007E7A1E"/>
    <w:rsid w:val="007F0C7F"/>
    <w:rsid w:val="007F1145"/>
    <w:rsid w:val="007F50BD"/>
    <w:rsid w:val="007F5306"/>
    <w:rsid w:val="007F546A"/>
    <w:rsid w:val="007F593B"/>
    <w:rsid w:val="007F6FC0"/>
    <w:rsid w:val="007F73A6"/>
    <w:rsid w:val="007F75EC"/>
    <w:rsid w:val="007F7A4A"/>
    <w:rsid w:val="008028BB"/>
    <w:rsid w:val="00804147"/>
    <w:rsid w:val="00804693"/>
    <w:rsid w:val="00804E6F"/>
    <w:rsid w:val="00805769"/>
    <w:rsid w:val="00805B8F"/>
    <w:rsid w:val="00806165"/>
    <w:rsid w:val="00810B92"/>
    <w:rsid w:val="00810C6C"/>
    <w:rsid w:val="00814909"/>
    <w:rsid w:val="00814F22"/>
    <w:rsid w:val="0081505F"/>
    <w:rsid w:val="008157DA"/>
    <w:rsid w:val="00815AD8"/>
    <w:rsid w:val="0081607F"/>
    <w:rsid w:val="00816897"/>
    <w:rsid w:val="0082012F"/>
    <w:rsid w:val="00823613"/>
    <w:rsid w:val="0082506C"/>
    <w:rsid w:val="00826E3E"/>
    <w:rsid w:val="00827419"/>
    <w:rsid w:val="008274A2"/>
    <w:rsid w:val="0082763E"/>
    <w:rsid w:val="00827CE8"/>
    <w:rsid w:val="00830242"/>
    <w:rsid w:val="00830766"/>
    <w:rsid w:val="0083275D"/>
    <w:rsid w:val="00833AD1"/>
    <w:rsid w:val="008346E6"/>
    <w:rsid w:val="0083520F"/>
    <w:rsid w:val="0083702B"/>
    <w:rsid w:val="00837C49"/>
    <w:rsid w:val="0084208E"/>
    <w:rsid w:val="00842358"/>
    <w:rsid w:val="008429E4"/>
    <w:rsid w:val="008434ED"/>
    <w:rsid w:val="00843BB6"/>
    <w:rsid w:val="00843DCD"/>
    <w:rsid w:val="008447A7"/>
    <w:rsid w:val="00845666"/>
    <w:rsid w:val="00845E22"/>
    <w:rsid w:val="00846080"/>
    <w:rsid w:val="00846215"/>
    <w:rsid w:val="00847481"/>
    <w:rsid w:val="00850484"/>
    <w:rsid w:val="00850DE0"/>
    <w:rsid w:val="00850ECA"/>
    <w:rsid w:val="00853B59"/>
    <w:rsid w:val="00853D67"/>
    <w:rsid w:val="00855CBA"/>
    <w:rsid w:val="00855E66"/>
    <w:rsid w:val="008560FC"/>
    <w:rsid w:val="008602AB"/>
    <w:rsid w:val="00864A4C"/>
    <w:rsid w:val="00866382"/>
    <w:rsid w:val="00866E57"/>
    <w:rsid w:val="008672D0"/>
    <w:rsid w:val="00867346"/>
    <w:rsid w:val="00867B17"/>
    <w:rsid w:val="00870E2B"/>
    <w:rsid w:val="0087142F"/>
    <w:rsid w:val="00872179"/>
    <w:rsid w:val="00872683"/>
    <w:rsid w:val="00872EE1"/>
    <w:rsid w:val="00873A1C"/>
    <w:rsid w:val="0087503A"/>
    <w:rsid w:val="00876216"/>
    <w:rsid w:val="00882988"/>
    <w:rsid w:val="008838D6"/>
    <w:rsid w:val="008841B4"/>
    <w:rsid w:val="00884F72"/>
    <w:rsid w:val="00885FE0"/>
    <w:rsid w:val="00886384"/>
    <w:rsid w:val="008865B4"/>
    <w:rsid w:val="0088678A"/>
    <w:rsid w:val="008868BC"/>
    <w:rsid w:val="008871CE"/>
    <w:rsid w:val="0088747C"/>
    <w:rsid w:val="00887B2F"/>
    <w:rsid w:val="00890A67"/>
    <w:rsid w:val="0089185A"/>
    <w:rsid w:val="00892D96"/>
    <w:rsid w:val="00894751"/>
    <w:rsid w:val="00894E1B"/>
    <w:rsid w:val="008953E5"/>
    <w:rsid w:val="00895735"/>
    <w:rsid w:val="0089583E"/>
    <w:rsid w:val="00895BD1"/>
    <w:rsid w:val="00895E64"/>
    <w:rsid w:val="00896D72"/>
    <w:rsid w:val="008A0A44"/>
    <w:rsid w:val="008A0ABC"/>
    <w:rsid w:val="008A0C99"/>
    <w:rsid w:val="008A0D8C"/>
    <w:rsid w:val="008A15C2"/>
    <w:rsid w:val="008A166B"/>
    <w:rsid w:val="008A3403"/>
    <w:rsid w:val="008A4A95"/>
    <w:rsid w:val="008A52D2"/>
    <w:rsid w:val="008A5869"/>
    <w:rsid w:val="008A70F5"/>
    <w:rsid w:val="008B078C"/>
    <w:rsid w:val="008B2360"/>
    <w:rsid w:val="008B40A2"/>
    <w:rsid w:val="008B4BF2"/>
    <w:rsid w:val="008B583B"/>
    <w:rsid w:val="008B6113"/>
    <w:rsid w:val="008B72C7"/>
    <w:rsid w:val="008C1671"/>
    <w:rsid w:val="008C319C"/>
    <w:rsid w:val="008C3A66"/>
    <w:rsid w:val="008C517B"/>
    <w:rsid w:val="008C5CBC"/>
    <w:rsid w:val="008C6464"/>
    <w:rsid w:val="008C6787"/>
    <w:rsid w:val="008C6E5A"/>
    <w:rsid w:val="008D1F41"/>
    <w:rsid w:val="008D3027"/>
    <w:rsid w:val="008D4FC2"/>
    <w:rsid w:val="008D5377"/>
    <w:rsid w:val="008D6958"/>
    <w:rsid w:val="008E0E97"/>
    <w:rsid w:val="008E1635"/>
    <w:rsid w:val="008E286C"/>
    <w:rsid w:val="008E39A3"/>
    <w:rsid w:val="008E5784"/>
    <w:rsid w:val="008E59DF"/>
    <w:rsid w:val="008E627F"/>
    <w:rsid w:val="008E69EA"/>
    <w:rsid w:val="008E6E4E"/>
    <w:rsid w:val="008F0779"/>
    <w:rsid w:val="008F0AA7"/>
    <w:rsid w:val="008F101F"/>
    <w:rsid w:val="008F1D59"/>
    <w:rsid w:val="008F1EEC"/>
    <w:rsid w:val="008F3B82"/>
    <w:rsid w:val="008F3DDB"/>
    <w:rsid w:val="008F42DF"/>
    <w:rsid w:val="008F43F5"/>
    <w:rsid w:val="008F4471"/>
    <w:rsid w:val="008F7004"/>
    <w:rsid w:val="0090034F"/>
    <w:rsid w:val="009020DA"/>
    <w:rsid w:val="00902F8E"/>
    <w:rsid w:val="0090317A"/>
    <w:rsid w:val="00904FCA"/>
    <w:rsid w:val="00905C30"/>
    <w:rsid w:val="009068F1"/>
    <w:rsid w:val="009103E2"/>
    <w:rsid w:val="00912106"/>
    <w:rsid w:val="0091230F"/>
    <w:rsid w:val="00912650"/>
    <w:rsid w:val="00913118"/>
    <w:rsid w:val="009154B4"/>
    <w:rsid w:val="009173F7"/>
    <w:rsid w:val="00921315"/>
    <w:rsid w:val="0092198C"/>
    <w:rsid w:val="009219A8"/>
    <w:rsid w:val="009233B0"/>
    <w:rsid w:val="00923EBF"/>
    <w:rsid w:val="0092433A"/>
    <w:rsid w:val="009251A7"/>
    <w:rsid w:val="009257BD"/>
    <w:rsid w:val="009262FF"/>
    <w:rsid w:val="009263E9"/>
    <w:rsid w:val="00927091"/>
    <w:rsid w:val="00927D09"/>
    <w:rsid w:val="00930625"/>
    <w:rsid w:val="00933349"/>
    <w:rsid w:val="00934044"/>
    <w:rsid w:val="00934491"/>
    <w:rsid w:val="009347F2"/>
    <w:rsid w:val="00934855"/>
    <w:rsid w:val="00936386"/>
    <w:rsid w:val="0093663C"/>
    <w:rsid w:val="00936A5D"/>
    <w:rsid w:val="00937259"/>
    <w:rsid w:val="0093771C"/>
    <w:rsid w:val="009377BA"/>
    <w:rsid w:val="00940302"/>
    <w:rsid w:val="0094038C"/>
    <w:rsid w:val="00940751"/>
    <w:rsid w:val="00942B68"/>
    <w:rsid w:val="00942DC3"/>
    <w:rsid w:val="009437A5"/>
    <w:rsid w:val="00943FBC"/>
    <w:rsid w:val="00944EBB"/>
    <w:rsid w:val="00945BFE"/>
    <w:rsid w:val="0094624E"/>
    <w:rsid w:val="00946A16"/>
    <w:rsid w:val="00946B68"/>
    <w:rsid w:val="00947172"/>
    <w:rsid w:val="0095207F"/>
    <w:rsid w:val="009532AA"/>
    <w:rsid w:val="0095343E"/>
    <w:rsid w:val="00953C31"/>
    <w:rsid w:val="00954A94"/>
    <w:rsid w:val="00955266"/>
    <w:rsid w:val="00955856"/>
    <w:rsid w:val="00955C6D"/>
    <w:rsid w:val="00955D9D"/>
    <w:rsid w:val="00956094"/>
    <w:rsid w:val="0095675A"/>
    <w:rsid w:val="009568AA"/>
    <w:rsid w:val="009568C3"/>
    <w:rsid w:val="00956AAD"/>
    <w:rsid w:val="00956F16"/>
    <w:rsid w:val="009573B2"/>
    <w:rsid w:val="00957712"/>
    <w:rsid w:val="00962AEC"/>
    <w:rsid w:val="009634EE"/>
    <w:rsid w:val="009644C0"/>
    <w:rsid w:val="00964EC5"/>
    <w:rsid w:val="00965B34"/>
    <w:rsid w:val="009666DD"/>
    <w:rsid w:val="009707BA"/>
    <w:rsid w:val="00971E28"/>
    <w:rsid w:val="00972208"/>
    <w:rsid w:val="0097299A"/>
    <w:rsid w:val="00975066"/>
    <w:rsid w:val="0097583B"/>
    <w:rsid w:val="0097621F"/>
    <w:rsid w:val="009771F1"/>
    <w:rsid w:val="0097765C"/>
    <w:rsid w:val="00980AEB"/>
    <w:rsid w:val="00981177"/>
    <w:rsid w:val="009811A2"/>
    <w:rsid w:val="009833BB"/>
    <w:rsid w:val="009841E2"/>
    <w:rsid w:val="0098421E"/>
    <w:rsid w:val="00984464"/>
    <w:rsid w:val="00984645"/>
    <w:rsid w:val="00984A81"/>
    <w:rsid w:val="00991C60"/>
    <w:rsid w:val="00992595"/>
    <w:rsid w:val="00992A05"/>
    <w:rsid w:val="00992AA6"/>
    <w:rsid w:val="0099390B"/>
    <w:rsid w:val="00993A85"/>
    <w:rsid w:val="00993B15"/>
    <w:rsid w:val="00995FA4"/>
    <w:rsid w:val="009A010C"/>
    <w:rsid w:val="009A013C"/>
    <w:rsid w:val="009A12C0"/>
    <w:rsid w:val="009A5D17"/>
    <w:rsid w:val="009A74FF"/>
    <w:rsid w:val="009B00A1"/>
    <w:rsid w:val="009B12B7"/>
    <w:rsid w:val="009B1390"/>
    <w:rsid w:val="009B145D"/>
    <w:rsid w:val="009B1E99"/>
    <w:rsid w:val="009B222E"/>
    <w:rsid w:val="009B294C"/>
    <w:rsid w:val="009B69C3"/>
    <w:rsid w:val="009C20EF"/>
    <w:rsid w:val="009C2E6A"/>
    <w:rsid w:val="009C3181"/>
    <w:rsid w:val="009C4715"/>
    <w:rsid w:val="009C4AE1"/>
    <w:rsid w:val="009C5F9F"/>
    <w:rsid w:val="009C6908"/>
    <w:rsid w:val="009C6E0F"/>
    <w:rsid w:val="009D0114"/>
    <w:rsid w:val="009D0E08"/>
    <w:rsid w:val="009D23AB"/>
    <w:rsid w:val="009D4647"/>
    <w:rsid w:val="009D7DD5"/>
    <w:rsid w:val="009E10B1"/>
    <w:rsid w:val="009E24D1"/>
    <w:rsid w:val="009E2AEB"/>
    <w:rsid w:val="009E2F0A"/>
    <w:rsid w:val="009E3B23"/>
    <w:rsid w:val="009E44FF"/>
    <w:rsid w:val="009E47DC"/>
    <w:rsid w:val="009E485F"/>
    <w:rsid w:val="009E5091"/>
    <w:rsid w:val="009E5CC7"/>
    <w:rsid w:val="009F6A3F"/>
    <w:rsid w:val="00A023AF"/>
    <w:rsid w:val="00A038F3"/>
    <w:rsid w:val="00A03AD0"/>
    <w:rsid w:val="00A11800"/>
    <w:rsid w:val="00A126B4"/>
    <w:rsid w:val="00A12A25"/>
    <w:rsid w:val="00A12F9D"/>
    <w:rsid w:val="00A13866"/>
    <w:rsid w:val="00A13BB5"/>
    <w:rsid w:val="00A13E13"/>
    <w:rsid w:val="00A14454"/>
    <w:rsid w:val="00A157EB"/>
    <w:rsid w:val="00A16559"/>
    <w:rsid w:val="00A17A91"/>
    <w:rsid w:val="00A17DA2"/>
    <w:rsid w:val="00A17F37"/>
    <w:rsid w:val="00A211C2"/>
    <w:rsid w:val="00A213E7"/>
    <w:rsid w:val="00A21706"/>
    <w:rsid w:val="00A228B5"/>
    <w:rsid w:val="00A228CE"/>
    <w:rsid w:val="00A23B94"/>
    <w:rsid w:val="00A23BAD"/>
    <w:rsid w:val="00A2439B"/>
    <w:rsid w:val="00A25560"/>
    <w:rsid w:val="00A276D0"/>
    <w:rsid w:val="00A30671"/>
    <w:rsid w:val="00A3067F"/>
    <w:rsid w:val="00A30D45"/>
    <w:rsid w:val="00A324E8"/>
    <w:rsid w:val="00A32B61"/>
    <w:rsid w:val="00A33DC7"/>
    <w:rsid w:val="00A35A1C"/>
    <w:rsid w:val="00A376F2"/>
    <w:rsid w:val="00A427AC"/>
    <w:rsid w:val="00A42CE9"/>
    <w:rsid w:val="00A42DD7"/>
    <w:rsid w:val="00A4448E"/>
    <w:rsid w:val="00A44B91"/>
    <w:rsid w:val="00A453E4"/>
    <w:rsid w:val="00A458CB"/>
    <w:rsid w:val="00A45BE0"/>
    <w:rsid w:val="00A45F51"/>
    <w:rsid w:val="00A46F1E"/>
    <w:rsid w:val="00A514CE"/>
    <w:rsid w:val="00A51A9C"/>
    <w:rsid w:val="00A51FFA"/>
    <w:rsid w:val="00A54513"/>
    <w:rsid w:val="00A55864"/>
    <w:rsid w:val="00A55AF2"/>
    <w:rsid w:val="00A5693D"/>
    <w:rsid w:val="00A56C45"/>
    <w:rsid w:val="00A61A0A"/>
    <w:rsid w:val="00A61B6B"/>
    <w:rsid w:val="00A62705"/>
    <w:rsid w:val="00A6318C"/>
    <w:rsid w:val="00A63FBD"/>
    <w:rsid w:val="00A641A2"/>
    <w:rsid w:val="00A64201"/>
    <w:rsid w:val="00A65571"/>
    <w:rsid w:val="00A65717"/>
    <w:rsid w:val="00A65F6C"/>
    <w:rsid w:val="00A66A84"/>
    <w:rsid w:val="00A66CC9"/>
    <w:rsid w:val="00A6717B"/>
    <w:rsid w:val="00A67733"/>
    <w:rsid w:val="00A70708"/>
    <w:rsid w:val="00A7130C"/>
    <w:rsid w:val="00A72BFB"/>
    <w:rsid w:val="00A731C9"/>
    <w:rsid w:val="00A7363F"/>
    <w:rsid w:val="00A74355"/>
    <w:rsid w:val="00A74494"/>
    <w:rsid w:val="00A74B4A"/>
    <w:rsid w:val="00A75F17"/>
    <w:rsid w:val="00A761D0"/>
    <w:rsid w:val="00A80166"/>
    <w:rsid w:val="00A84E50"/>
    <w:rsid w:val="00A90DBE"/>
    <w:rsid w:val="00A917CE"/>
    <w:rsid w:val="00A92EE0"/>
    <w:rsid w:val="00A95F2E"/>
    <w:rsid w:val="00A9655E"/>
    <w:rsid w:val="00AA1501"/>
    <w:rsid w:val="00AA2F6B"/>
    <w:rsid w:val="00AA45B9"/>
    <w:rsid w:val="00AA4F49"/>
    <w:rsid w:val="00AB0740"/>
    <w:rsid w:val="00AB0E1C"/>
    <w:rsid w:val="00AB18BD"/>
    <w:rsid w:val="00AB3825"/>
    <w:rsid w:val="00AB3F7C"/>
    <w:rsid w:val="00AB4D12"/>
    <w:rsid w:val="00AB521E"/>
    <w:rsid w:val="00AB6ACB"/>
    <w:rsid w:val="00AB720B"/>
    <w:rsid w:val="00AC0B78"/>
    <w:rsid w:val="00AC44DB"/>
    <w:rsid w:val="00AC4EDC"/>
    <w:rsid w:val="00AC6DC5"/>
    <w:rsid w:val="00AD0AE9"/>
    <w:rsid w:val="00AD0E6C"/>
    <w:rsid w:val="00AD29F9"/>
    <w:rsid w:val="00AD2E8D"/>
    <w:rsid w:val="00AD321A"/>
    <w:rsid w:val="00AD380A"/>
    <w:rsid w:val="00AD3F89"/>
    <w:rsid w:val="00AD4866"/>
    <w:rsid w:val="00AD4C6E"/>
    <w:rsid w:val="00AD58C3"/>
    <w:rsid w:val="00AD6CD0"/>
    <w:rsid w:val="00AD6D2D"/>
    <w:rsid w:val="00AD7330"/>
    <w:rsid w:val="00AE196E"/>
    <w:rsid w:val="00AE21C5"/>
    <w:rsid w:val="00AE220A"/>
    <w:rsid w:val="00AE3C2D"/>
    <w:rsid w:val="00AE575B"/>
    <w:rsid w:val="00AE5AF8"/>
    <w:rsid w:val="00AF0374"/>
    <w:rsid w:val="00AF11C5"/>
    <w:rsid w:val="00AF1B91"/>
    <w:rsid w:val="00AF1D71"/>
    <w:rsid w:val="00AF3066"/>
    <w:rsid w:val="00AF32B0"/>
    <w:rsid w:val="00AF70FC"/>
    <w:rsid w:val="00B012CA"/>
    <w:rsid w:val="00B01D35"/>
    <w:rsid w:val="00B02767"/>
    <w:rsid w:val="00B03048"/>
    <w:rsid w:val="00B0480F"/>
    <w:rsid w:val="00B06BC8"/>
    <w:rsid w:val="00B077F2"/>
    <w:rsid w:val="00B1089A"/>
    <w:rsid w:val="00B14883"/>
    <w:rsid w:val="00B14EE9"/>
    <w:rsid w:val="00B167A3"/>
    <w:rsid w:val="00B17994"/>
    <w:rsid w:val="00B17F54"/>
    <w:rsid w:val="00B2563A"/>
    <w:rsid w:val="00B265CC"/>
    <w:rsid w:val="00B26C72"/>
    <w:rsid w:val="00B2712B"/>
    <w:rsid w:val="00B27467"/>
    <w:rsid w:val="00B33F03"/>
    <w:rsid w:val="00B341C3"/>
    <w:rsid w:val="00B358A5"/>
    <w:rsid w:val="00B35AAA"/>
    <w:rsid w:val="00B35F68"/>
    <w:rsid w:val="00B377A0"/>
    <w:rsid w:val="00B37BE1"/>
    <w:rsid w:val="00B40E46"/>
    <w:rsid w:val="00B42000"/>
    <w:rsid w:val="00B425AA"/>
    <w:rsid w:val="00B42947"/>
    <w:rsid w:val="00B460D0"/>
    <w:rsid w:val="00B464C0"/>
    <w:rsid w:val="00B46E5F"/>
    <w:rsid w:val="00B47944"/>
    <w:rsid w:val="00B50C2B"/>
    <w:rsid w:val="00B51994"/>
    <w:rsid w:val="00B51CB7"/>
    <w:rsid w:val="00B52B35"/>
    <w:rsid w:val="00B52F98"/>
    <w:rsid w:val="00B53765"/>
    <w:rsid w:val="00B54A23"/>
    <w:rsid w:val="00B560F7"/>
    <w:rsid w:val="00B567A1"/>
    <w:rsid w:val="00B56E7B"/>
    <w:rsid w:val="00B5726E"/>
    <w:rsid w:val="00B605EC"/>
    <w:rsid w:val="00B61671"/>
    <w:rsid w:val="00B61BA9"/>
    <w:rsid w:val="00B6222C"/>
    <w:rsid w:val="00B63ECB"/>
    <w:rsid w:val="00B6500F"/>
    <w:rsid w:val="00B65EA5"/>
    <w:rsid w:val="00B67488"/>
    <w:rsid w:val="00B67853"/>
    <w:rsid w:val="00B67BCF"/>
    <w:rsid w:val="00B71333"/>
    <w:rsid w:val="00B720EF"/>
    <w:rsid w:val="00B725E1"/>
    <w:rsid w:val="00B727F4"/>
    <w:rsid w:val="00B73E06"/>
    <w:rsid w:val="00B7494E"/>
    <w:rsid w:val="00B749FC"/>
    <w:rsid w:val="00B767DB"/>
    <w:rsid w:val="00B77ACA"/>
    <w:rsid w:val="00B807FC"/>
    <w:rsid w:val="00B809F6"/>
    <w:rsid w:val="00B822B2"/>
    <w:rsid w:val="00B83248"/>
    <w:rsid w:val="00B83D1E"/>
    <w:rsid w:val="00B845E5"/>
    <w:rsid w:val="00B84D0A"/>
    <w:rsid w:val="00B85375"/>
    <w:rsid w:val="00B85D96"/>
    <w:rsid w:val="00B8675C"/>
    <w:rsid w:val="00B86AE3"/>
    <w:rsid w:val="00B8717B"/>
    <w:rsid w:val="00B9029E"/>
    <w:rsid w:val="00B9263C"/>
    <w:rsid w:val="00B92E77"/>
    <w:rsid w:val="00B94E93"/>
    <w:rsid w:val="00B965E5"/>
    <w:rsid w:val="00B967FA"/>
    <w:rsid w:val="00B968EE"/>
    <w:rsid w:val="00B978A8"/>
    <w:rsid w:val="00BA0032"/>
    <w:rsid w:val="00BA1AD6"/>
    <w:rsid w:val="00BA2408"/>
    <w:rsid w:val="00BA2821"/>
    <w:rsid w:val="00BA2FD7"/>
    <w:rsid w:val="00BA4866"/>
    <w:rsid w:val="00BA6983"/>
    <w:rsid w:val="00BA6B27"/>
    <w:rsid w:val="00BA6E7F"/>
    <w:rsid w:val="00BB02FF"/>
    <w:rsid w:val="00BB0DDA"/>
    <w:rsid w:val="00BB11B3"/>
    <w:rsid w:val="00BB12A3"/>
    <w:rsid w:val="00BB1C66"/>
    <w:rsid w:val="00BB389B"/>
    <w:rsid w:val="00BB3B20"/>
    <w:rsid w:val="00BB5098"/>
    <w:rsid w:val="00BB5473"/>
    <w:rsid w:val="00BB658A"/>
    <w:rsid w:val="00BB71C8"/>
    <w:rsid w:val="00BB7E7A"/>
    <w:rsid w:val="00BC0FAE"/>
    <w:rsid w:val="00BC2076"/>
    <w:rsid w:val="00BC320D"/>
    <w:rsid w:val="00BC5AF2"/>
    <w:rsid w:val="00BC608A"/>
    <w:rsid w:val="00BD0A61"/>
    <w:rsid w:val="00BD1F79"/>
    <w:rsid w:val="00BD6739"/>
    <w:rsid w:val="00BD7E17"/>
    <w:rsid w:val="00BE0BDD"/>
    <w:rsid w:val="00BE0F4E"/>
    <w:rsid w:val="00BE1849"/>
    <w:rsid w:val="00BE1CDF"/>
    <w:rsid w:val="00BE4D61"/>
    <w:rsid w:val="00BE5F17"/>
    <w:rsid w:val="00BE614A"/>
    <w:rsid w:val="00BF0117"/>
    <w:rsid w:val="00BF2AAC"/>
    <w:rsid w:val="00BF32AB"/>
    <w:rsid w:val="00BF4F04"/>
    <w:rsid w:val="00BF7359"/>
    <w:rsid w:val="00C02156"/>
    <w:rsid w:val="00C02B71"/>
    <w:rsid w:val="00C0360E"/>
    <w:rsid w:val="00C03DA9"/>
    <w:rsid w:val="00C047EC"/>
    <w:rsid w:val="00C05564"/>
    <w:rsid w:val="00C06D72"/>
    <w:rsid w:val="00C10594"/>
    <w:rsid w:val="00C106CD"/>
    <w:rsid w:val="00C13677"/>
    <w:rsid w:val="00C13A33"/>
    <w:rsid w:val="00C153AA"/>
    <w:rsid w:val="00C16900"/>
    <w:rsid w:val="00C201E4"/>
    <w:rsid w:val="00C22D33"/>
    <w:rsid w:val="00C25519"/>
    <w:rsid w:val="00C26A49"/>
    <w:rsid w:val="00C272FC"/>
    <w:rsid w:val="00C30F35"/>
    <w:rsid w:val="00C33CBA"/>
    <w:rsid w:val="00C3453E"/>
    <w:rsid w:val="00C34D9B"/>
    <w:rsid w:val="00C35B7A"/>
    <w:rsid w:val="00C36B4D"/>
    <w:rsid w:val="00C37A49"/>
    <w:rsid w:val="00C37D85"/>
    <w:rsid w:val="00C40A3B"/>
    <w:rsid w:val="00C412C0"/>
    <w:rsid w:val="00C4275D"/>
    <w:rsid w:val="00C42C68"/>
    <w:rsid w:val="00C431A3"/>
    <w:rsid w:val="00C43B2E"/>
    <w:rsid w:val="00C44471"/>
    <w:rsid w:val="00C457DD"/>
    <w:rsid w:val="00C50D84"/>
    <w:rsid w:val="00C5122D"/>
    <w:rsid w:val="00C5166C"/>
    <w:rsid w:val="00C51C8B"/>
    <w:rsid w:val="00C52449"/>
    <w:rsid w:val="00C535B2"/>
    <w:rsid w:val="00C5462A"/>
    <w:rsid w:val="00C55145"/>
    <w:rsid w:val="00C566F8"/>
    <w:rsid w:val="00C574F3"/>
    <w:rsid w:val="00C57C77"/>
    <w:rsid w:val="00C60083"/>
    <w:rsid w:val="00C6325C"/>
    <w:rsid w:val="00C633DB"/>
    <w:rsid w:val="00C6425A"/>
    <w:rsid w:val="00C643AA"/>
    <w:rsid w:val="00C64AD8"/>
    <w:rsid w:val="00C66334"/>
    <w:rsid w:val="00C6664B"/>
    <w:rsid w:val="00C66E6A"/>
    <w:rsid w:val="00C67267"/>
    <w:rsid w:val="00C6780C"/>
    <w:rsid w:val="00C70392"/>
    <w:rsid w:val="00C70751"/>
    <w:rsid w:val="00C70928"/>
    <w:rsid w:val="00C7330F"/>
    <w:rsid w:val="00C735EB"/>
    <w:rsid w:val="00C74C76"/>
    <w:rsid w:val="00C74F7F"/>
    <w:rsid w:val="00C75675"/>
    <w:rsid w:val="00C76DEE"/>
    <w:rsid w:val="00C80076"/>
    <w:rsid w:val="00C802C2"/>
    <w:rsid w:val="00C802F7"/>
    <w:rsid w:val="00C80DB4"/>
    <w:rsid w:val="00C8529D"/>
    <w:rsid w:val="00C86297"/>
    <w:rsid w:val="00C86487"/>
    <w:rsid w:val="00C86E8A"/>
    <w:rsid w:val="00C87430"/>
    <w:rsid w:val="00C87DE3"/>
    <w:rsid w:val="00C92CE9"/>
    <w:rsid w:val="00C93307"/>
    <w:rsid w:val="00C951A9"/>
    <w:rsid w:val="00C96796"/>
    <w:rsid w:val="00CA2D0C"/>
    <w:rsid w:val="00CA43D0"/>
    <w:rsid w:val="00CA511A"/>
    <w:rsid w:val="00CA5397"/>
    <w:rsid w:val="00CA7123"/>
    <w:rsid w:val="00CA7EE5"/>
    <w:rsid w:val="00CB0B5B"/>
    <w:rsid w:val="00CB1139"/>
    <w:rsid w:val="00CB1D9C"/>
    <w:rsid w:val="00CB2231"/>
    <w:rsid w:val="00CB2541"/>
    <w:rsid w:val="00CB2695"/>
    <w:rsid w:val="00CB2D70"/>
    <w:rsid w:val="00CB30FA"/>
    <w:rsid w:val="00CB3A52"/>
    <w:rsid w:val="00CB6520"/>
    <w:rsid w:val="00CB7572"/>
    <w:rsid w:val="00CC0DC1"/>
    <w:rsid w:val="00CC25AB"/>
    <w:rsid w:val="00CC350E"/>
    <w:rsid w:val="00CC6E48"/>
    <w:rsid w:val="00CC7280"/>
    <w:rsid w:val="00CC746B"/>
    <w:rsid w:val="00CC7597"/>
    <w:rsid w:val="00CC76BF"/>
    <w:rsid w:val="00CD020F"/>
    <w:rsid w:val="00CD1111"/>
    <w:rsid w:val="00CD12F0"/>
    <w:rsid w:val="00CD13EC"/>
    <w:rsid w:val="00CD13FC"/>
    <w:rsid w:val="00CD1B7B"/>
    <w:rsid w:val="00CD1F34"/>
    <w:rsid w:val="00CD2243"/>
    <w:rsid w:val="00CD30FF"/>
    <w:rsid w:val="00CD3392"/>
    <w:rsid w:val="00CD3FF8"/>
    <w:rsid w:val="00CD5BCD"/>
    <w:rsid w:val="00CD68EE"/>
    <w:rsid w:val="00CE19C4"/>
    <w:rsid w:val="00CE4D4D"/>
    <w:rsid w:val="00CE5799"/>
    <w:rsid w:val="00CE624C"/>
    <w:rsid w:val="00CF0813"/>
    <w:rsid w:val="00CF1130"/>
    <w:rsid w:val="00CF1ABC"/>
    <w:rsid w:val="00CF3CEF"/>
    <w:rsid w:val="00CF4241"/>
    <w:rsid w:val="00CF5417"/>
    <w:rsid w:val="00CF6AC9"/>
    <w:rsid w:val="00CF6C7E"/>
    <w:rsid w:val="00CF77F2"/>
    <w:rsid w:val="00D005DB"/>
    <w:rsid w:val="00D01C7F"/>
    <w:rsid w:val="00D020F2"/>
    <w:rsid w:val="00D035E3"/>
    <w:rsid w:val="00D046BF"/>
    <w:rsid w:val="00D048EF"/>
    <w:rsid w:val="00D065E0"/>
    <w:rsid w:val="00D14142"/>
    <w:rsid w:val="00D1509E"/>
    <w:rsid w:val="00D17290"/>
    <w:rsid w:val="00D20715"/>
    <w:rsid w:val="00D21668"/>
    <w:rsid w:val="00D2195D"/>
    <w:rsid w:val="00D21B30"/>
    <w:rsid w:val="00D228CA"/>
    <w:rsid w:val="00D2358D"/>
    <w:rsid w:val="00D236EA"/>
    <w:rsid w:val="00D23EF7"/>
    <w:rsid w:val="00D251E0"/>
    <w:rsid w:val="00D2538E"/>
    <w:rsid w:val="00D25C8B"/>
    <w:rsid w:val="00D27416"/>
    <w:rsid w:val="00D27F17"/>
    <w:rsid w:val="00D30AEA"/>
    <w:rsid w:val="00D30F96"/>
    <w:rsid w:val="00D31AF5"/>
    <w:rsid w:val="00D31B81"/>
    <w:rsid w:val="00D334C3"/>
    <w:rsid w:val="00D33960"/>
    <w:rsid w:val="00D33AE1"/>
    <w:rsid w:val="00D3629A"/>
    <w:rsid w:val="00D377C4"/>
    <w:rsid w:val="00D37B70"/>
    <w:rsid w:val="00D429D8"/>
    <w:rsid w:val="00D42C6E"/>
    <w:rsid w:val="00D43260"/>
    <w:rsid w:val="00D45EA7"/>
    <w:rsid w:val="00D4676C"/>
    <w:rsid w:val="00D4748B"/>
    <w:rsid w:val="00D478AC"/>
    <w:rsid w:val="00D5169A"/>
    <w:rsid w:val="00D53355"/>
    <w:rsid w:val="00D542A2"/>
    <w:rsid w:val="00D55D5E"/>
    <w:rsid w:val="00D6166D"/>
    <w:rsid w:val="00D6182C"/>
    <w:rsid w:val="00D61FC6"/>
    <w:rsid w:val="00D626AA"/>
    <w:rsid w:val="00D64A28"/>
    <w:rsid w:val="00D64CF1"/>
    <w:rsid w:val="00D65100"/>
    <w:rsid w:val="00D65BCF"/>
    <w:rsid w:val="00D6607D"/>
    <w:rsid w:val="00D671AA"/>
    <w:rsid w:val="00D70693"/>
    <w:rsid w:val="00D709EE"/>
    <w:rsid w:val="00D7247E"/>
    <w:rsid w:val="00D745CA"/>
    <w:rsid w:val="00D7521C"/>
    <w:rsid w:val="00D767B4"/>
    <w:rsid w:val="00D805BD"/>
    <w:rsid w:val="00D808A7"/>
    <w:rsid w:val="00D813E1"/>
    <w:rsid w:val="00D81417"/>
    <w:rsid w:val="00D82183"/>
    <w:rsid w:val="00D83705"/>
    <w:rsid w:val="00D8526C"/>
    <w:rsid w:val="00D85352"/>
    <w:rsid w:val="00D85A4C"/>
    <w:rsid w:val="00D87B42"/>
    <w:rsid w:val="00D87F95"/>
    <w:rsid w:val="00D901CD"/>
    <w:rsid w:val="00D90AD8"/>
    <w:rsid w:val="00D90E09"/>
    <w:rsid w:val="00D936D8"/>
    <w:rsid w:val="00D93D6C"/>
    <w:rsid w:val="00D9460E"/>
    <w:rsid w:val="00D94EA4"/>
    <w:rsid w:val="00D94EA5"/>
    <w:rsid w:val="00D95DA4"/>
    <w:rsid w:val="00D96520"/>
    <w:rsid w:val="00D96688"/>
    <w:rsid w:val="00D96A95"/>
    <w:rsid w:val="00D97470"/>
    <w:rsid w:val="00D97FAC"/>
    <w:rsid w:val="00DA1577"/>
    <w:rsid w:val="00DA35C9"/>
    <w:rsid w:val="00DA4761"/>
    <w:rsid w:val="00DA6FA5"/>
    <w:rsid w:val="00DA73CB"/>
    <w:rsid w:val="00DA7657"/>
    <w:rsid w:val="00DB0C4D"/>
    <w:rsid w:val="00DB116D"/>
    <w:rsid w:val="00DB1AFD"/>
    <w:rsid w:val="00DB2463"/>
    <w:rsid w:val="00DB3CB0"/>
    <w:rsid w:val="00DB63ED"/>
    <w:rsid w:val="00DB66D9"/>
    <w:rsid w:val="00DB72D6"/>
    <w:rsid w:val="00DB750F"/>
    <w:rsid w:val="00DB7515"/>
    <w:rsid w:val="00DB759E"/>
    <w:rsid w:val="00DB7BE3"/>
    <w:rsid w:val="00DC0656"/>
    <w:rsid w:val="00DC0F0C"/>
    <w:rsid w:val="00DC19F4"/>
    <w:rsid w:val="00DC2878"/>
    <w:rsid w:val="00DC3AFF"/>
    <w:rsid w:val="00DC4F89"/>
    <w:rsid w:val="00DD1F0E"/>
    <w:rsid w:val="00DD55D9"/>
    <w:rsid w:val="00DD5713"/>
    <w:rsid w:val="00DD5C86"/>
    <w:rsid w:val="00DD5E18"/>
    <w:rsid w:val="00DE0AAF"/>
    <w:rsid w:val="00DE1413"/>
    <w:rsid w:val="00DE2249"/>
    <w:rsid w:val="00DE34A8"/>
    <w:rsid w:val="00DE54EC"/>
    <w:rsid w:val="00DE7B0E"/>
    <w:rsid w:val="00DE7FDC"/>
    <w:rsid w:val="00DF3E3B"/>
    <w:rsid w:val="00DF4DD3"/>
    <w:rsid w:val="00DF5053"/>
    <w:rsid w:val="00DF5B45"/>
    <w:rsid w:val="00DF6139"/>
    <w:rsid w:val="00DF6638"/>
    <w:rsid w:val="00E01D7E"/>
    <w:rsid w:val="00E024AC"/>
    <w:rsid w:val="00E02B48"/>
    <w:rsid w:val="00E0382E"/>
    <w:rsid w:val="00E0542B"/>
    <w:rsid w:val="00E05A17"/>
    <w:rsid w:val="00E06A2E"/>
    <w:rsid w:val="00E102AF"/>
    <w:rsid w:val="00E10E87"/>
    <w:rsid w:val="00E11B25"/>
    <w:rsid w:val="00E11E7C"/>
    <w:rsid w:val="00E12793"/>
    <w:rsid w:val="00E12C47"/>
    <w:rsid w:val="00E12D08"/>
    <w:rsid w:val="00E13AD4"/>
    <w:rsid w:val="00E13B4C"/>
    <w:rsid w:val="00E14983"/>
    <w:rsid w:val="00E16466"/>
    <w:rsid w:val="00E201E6"/>
    <w:rsid w:val="00E2096F"/>
    <w:rsid w:val="00E21F26"/>
    <w:rsid w:val="00E22698"/>
    <w:rsid w:val="00E233F7"/>
    <w:rsid w:val="00E2413B"/>
    <w:rsid w:val="00E24668"/>
    <w:rsid w:val="00E26CF8"/>
    <w:rsid w:val="00E27712"/>
    <w:rsid w:val="00E30FAB"/>
    <w:rsid w:val="00E31CEC"/>
    <w:rsid w:val="00E32602"/>
    <w:rsid w:val="00E32D47"/>
    <w:rsid w:val="00E34D72"/>
    <w:rsid w:val="00E35FBA"/>
    <w:rsid w:val="00E363D6"/>
    <w:rsid w:val="00E404CF"/>
    <w:rsid w:val="00E428BF"/>
    <w:rsid w:val="00E42E5F"/>
    <w:rsid w:val="00E43B21"/>
    <w:rsid w:val="00E43B7A"/>
    <w:rsid w:val="00E45C9D"/>
    <w:rsid w:val="00E45DF6"/>
    <w:rsid w:val="00E45FE9"/>
    <w:rsid w:val="00E4624F"/>
    <w:rsid w:val="00E462C1"/>
    <w:rsid w:val="00E47578"/>
    <w:rsid w:val="00E47819"/>
    <w:rsid w:val="00E47999"/>
    <w:rsid w:val="00E47F95"/>
    <w:rsid w:val="00E5033B"/>
    <w:rsid w:val="00E507AA"/>
    <w:rsid w:val="00E55D08"/>
    <w:rsid w:val="00E60217"/>
    <w:rsid w:val="00E6258F"/>
    <w:rsid w:val="00E62F49"/>
    <w:rsid w:val="00E631D4"/>
    <w:rsid w:val="00E66237"/>
    <w:rsid w:val="00E70566"/>
    <w:rsid w:val="00E70FE1"/>
    <w:rsid w:val="00E75275"/>
    <w:rsid w:val="00E7557F"/>
    <w:rsid w:val="00E772DC"/>
    <w:rsid w:val="00E776D2"/>
    <w:rsid w:val="00E777B4"/>
    <w:rsid w:val="00E81184"/>
    <w:rsid w:val="00E81F04"/>
    <w:rsid w:val="00E82A77"/>
    <w:rsid w:val="00E82C33"/>
    <w:rsid w:val="00E82EBB"/>
    <w:rsid w:val="00E83AF3"/>
    <w:rsid w:val="00E84096"/>
    <w:rsid w:val="00E86DD4"/>
    <w:rsid w:val="00E877F8"/>
    <w:rsid w:val="00E906DF"/>
    <w:rsid w:val="00E9102D"/>
    <w:rsid w:val="00E915F8"/>
    <w:rsid w:val="00E94370"/>
    <w:rsid w:val="00E94422"/>
    <w:rsid w:val="00E94972"/>
    <w:rsid w:val="00E94CE0"/>
    <w:rsid w:val="00E94D28"/>
    <w:rsid w:val="00E978EC"/>
    <w:rsid w:val="00EA0760"/>
    <w:rsid w:val="00EA1869"/>
    <w:rsid w:val="00EA2239"/>
    <w:rsid w:val="00EA3640"/>
    <w:rsid w:val="00EA3BA6"/>
    <w:rsid w:val="00EA4D54"/>
    <w:rsid w:val="00EA5C50"/>
    <w:rsid w:val="00EA6325"/>
    <w:rsid w:val="00EA6326"/>
    <w:rsid w:val="00EB0617"/>
    <w:rsid w:val="00EB368A"/>
    <w:rsid w:val="00EB3FB5"/>
    <w:rsid w:val="00EB43A1"/>
    <w:rsid w:val="00EB773F"/>
    <w:rsid w:val="00EC33CA"/>
    <w:rsid w:val="00EC36E4"/>
    <w:rsid w:val="00EC535A"/>
    <w:rsid w:val="00EC589D"/>
    <w:rsid w:val="00EC5A7F"/>
    <w:rsid w:val="00ED053C"/>
    <w:rsid w:val="00ED0A47"/>
    <w:rsid w:val="00ED1959"/>
    <w:rsid w:val="00ED1F3F"/>
    <w:rsid w:val="00ED30AD"/>
    <w:rsid w:val="00ED33F2"/>
    <w:rsid w:val="00ED407E"/>
    <w:rsid w:val="00ED6494"/>
    <w:rsid w:val="00EE05AA"/>
    <w:rsid w:val="00EE06A4"/>
    <w:rsid w:val="00EE386D"/>
    <w:rsid w:val="00EE3F2B"/>
    <w:rsid w:val="00EE559A"/>
    <w:rsid w:val="00EE671C"/>
    <w:rsid w:val="00EE6D5C"/>
    <w:rsid w:val="00EF0F0F"/>
    <w:rsid w:val="00EF135F"/>
    <w:rsid w:val="00EF3775"/>
    <w:rsid w:val="00EF45C8"/>
    <w:rsid w:val="00EF5217"/>
    <w:rsid w:val="00EF5EC0"/>
    <w:rsid w:val="00EF676F"/>
    <w:rsid w:val="00EF7635"/>
    <w:rsid w:val="00F00905"/>
    <w:rsid w:val="00F01ABC"/>
    <w:rsid w:val="00F02072"/>
    <w:rsid w:val="00F028EE"/>
    <w:rsid w:val="00F02DAA"/>
    <w:rsid w:val="00F037E6"/>
    <w:rsid w:val="00F056AA"/>
    <w:rsid w:val="00F05E85"/>
    <w:rsid w:val="00F069D3"/>
    <w:rsid w:val="00F10883"/>
    <w:rsid w:val="00F1370B"/>
    <w:rsid w:val="00F13767"/>
    <w:rsid w:val="00F14604"/>
    <w:rsid w:val="00F14F73"/>
    <w:rsid w:val="00F16656"/>
    <w:rsid w:val="00F16704"/>
    <w:rsid w:val="00F168F1"/>
    <w:rsid w:val="00F20A2A"/>
    <w:rsid w:val="00F24868"/>
    <w:rsid w:val="00F24D52"/>
    <w:rsid w:val="00F251C6"/>
    <w:rsid w:val="00F25EBB"/>
    <w:rsid w:val="00F26421"/>
    <w:rsid w:val="00F2790B"/>
    <w:rsid w:val="00F27F24"/>
    <w:rsid w:val="00F320F5"/>
    <w:rsid w:val="00F32C12"/>
    <w:rsid w:val="00F34586"/>
    <w:rsid w:val="00F34AFB"/>
    <w:rsid w:val="00F34BC2"/>
    <w:rsid w:val="00F34D65"/>
    <w:rsid w:val="00F358F4"/>
    <w:rsid w:val="00F35E56"/>
    <w:rsid w:val="00F35E5D"/>
    <w:rsid w:val="00F365C6"/>
    <w:rsid w:val="00F36AB6"/>
    <w:rsid w:val="00F40E07"/>
    <w:rsid w:val="00F4324A"/>
    <w:rsid w:val="00F44B9E"/>
    <w:rsid w:val="00F46E2C"/>
    <w:rsid w:val="00F47811"/>
    <w:rsid w:val="00F47906"/>
    <w:rsid w:val="00F50DF8"/>
    <w:rsid w:val="00F51E68"/>
    <w:rsid w:val="00F52122"/>
    <w:rsid w:val="00F52A83"/>
    <w:rsid w:val="00F53411"/>
    <w:rsid w:val="00F543E5"/>
    <w:rsid w:val="00F54D91"/>
    <w:rsid w:val="00F553F8"/>
    <w:rsid w:val="00F5634F"/>
    <w:rsid w:val="00F57029"/>
    <w:rsid w:val="00F6046C"/>
    <w:rsid w:val="00F60D27"/>
    <w:rsid w:val="00F611D8"/>
    <w:rsid w:val="00F612D1"/>
    <w:rsid w:val="00F63355"/>
    <w:rsid w:val="00F63B8F"/>
    <w:rsid w:val="00F64257"/>
    <w:rsid w:val="00F6493B"/>
    <w:rsid w:val="00F65C21"/>
    <w:rsid w:val="00F65F61"/>
    <w:rsid w:val="00F66B80"/>
    <w:rsid w:val="00F66F67"/>
    <w:rsid w:val="00F722D1"/>
    <w:rsid w:val="00F72B52"/>
    <w:rsid w:val="00F735ED"/>
    <w:rsid w:val="00F73958"/>
    <w:rsid w:val="00F73F4F"/>
    <w:rsid w:val="00F76714"/>
    <w:rsid w:val="00F76D9A"/>
    <w:rsid w:val="00F76DB6"/>
    <w:rsid w:val="00F80B28"/>
    <w:rsid w:val="00F811D4"/>
    <w:rsid w:val="00F82E9D"/>
    <w:rsid w:val="00F8307C"/>
    <w:rsid w:val="00F8410F"/>
    <w:rsid w:val="00F859A0"/>
    <w:rsid w:val="00F85A07"/>
    <w:rsid w:val="00F8611B"/>
    <w:rsid w:val="00F86E22"/>
    <w:rsid w:val="00F87348"/>
    <w:rsid w:val="00F87CA1"/>
    <w:rsid w:val="00F9061A"/>
    <w:rsid w:val="00F91675"/>
    <w:rsid w:val="00F91FA4"/>
    <w:rsid w:val="00F92272"/>
    <w:rsid w:val="00F960DB"/>
    <w:rsid w:val="00F968DB"/>
    <w:rsid w:val="00F97053"/>
    <w:rsid w:val="00FA0811"/>
    <w:rsid w:val="00FA0D5C"/>
    <w:rsid w:val="00FA1898"/>
    <w:rsid w:val="00FA2724"/>
    <w:rsid w:val="00FA66A3"/>
    <w:rsid w:val="00FA6BA1"/>
    <w:rsid w:val="00FA7287"/>
    <w:rsid w:val="00FA7494"/>
    <w:rsid w:val="00FA787A"/>
    <w:rsid w:val="00FA7A63"/>
    <w:rsid w:val="00FB0938"/>
    <w:rsid w:val="00FB24DB"/>
    <w:rsid w:val="00FB2638"/>
    <w:rsid w:val="00FB291A"/>
    <w:rsid w:val="00FB3C61"/>
    <w:rsid w:val="00FB42A3"/>
    <w:rsid w:val="00FB4E0C"/>
    <w:rsid w:val="00FB532A"/>
    <w:rsid w:val="00FB5799"/>
    <w:rsid w:val="00FB67DD"/>
    <w:rsid w:val="00FB7290"/>
    <w:rsid w:val="00FB77C7"/>
    <w:rsid w:val="00FC0401"/>
    <w:rsid w:val="00FC0860"/>
    <w:rsid w:val="00FC08DE"/>
    <w:rsid w:val="00FC13FC"/>
    <w:rsid w:val="00FC15B5"/>
    <w:rsid w:val="00FC200B"/>
    <w:rsid w:val="00FC22C9"/>
    <w:rsid w:val="00FC3100"/>
    <w:rsid w:val="00FC5462"/>
    <w:rsid w:val="00FC6980"/>
    <w:rsid w:val="00FC75A8"/>
    <w:rsid w:val="00FD1118"/>
    <w:rsid w:val="00FD14E7"/>
    <w:rsid w:val="00FD3606"/>
    <w:rsid w:val="00FD377C"/>
    <w:rsid w:val="00FD618C"/>
    <w:rsid w:val="00FD64BC"/>
    <w:rsid w:val="00FD68BA"/>
    <w:rsid w:val="00FD7C72"/>
    <w:rsid w:val="00FE02B3"/>
    <w:rsid w:val="00FE1AE8"/>
    <w:rsid w:val="00FE2067"/>
    <w:rsid w:val="00FE30B5"/>
    <w:rsid w:val="00FE3FC5"/>
    <w:rsid w:val="00FE541D"/>
    <w:rsid w:val="00FE5BF3"/>
    <w:rsid w:val="00FE7795"/>
    <w:rsid w:val="00FE7FD8"/>
    <w:rsid w:val="00FF26DE"/>
    <w:rsid w:val="00FF2720"/>
    <w:rsid w:val="00FF2C42"/>
    <w:rsid w:val="00FF3A9C"/>
    <w:rsid w:val="00FF49E0"/>
    <w:rsid w:val="00FF5343"/>
    <w:rsid w:val="00FF65C5"/>
    <w:rsid w:val="00FF6BC8"/>
    <w:rsid w:val="00FF6C99"/>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0AD556FE"/>
  <w15:docId w15:val="{D4940C1E-2A44-4E6D-9B98-2D574DE5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60E"/>
  </w:style>
  <w:style w:type="paragraph" w:styleId="Heading1">
    <w:name w:val="heading 1"/>
    <w:basedOn w:val="Normal"/>
    <w:next w:val="Normal"/>
    <w:link w:val="Heading1Char"/>
    <w:uiPriority w:val="9"/>
    <w:qFormat/>
    <w:rsid w:val="001C606F"/>
    <w:pPr>
      <w:keepNext/>
      <w:keepLines/>
      <w:shd w:val="clear" w:color="auto" w:fill="009999"/>
      <w:spacing w:after="360"/>
      <w:outlineLvl w:val="0"/>
    </w:pPr>
    <w:rPr>
      <w:rFonts w:eastAsiaTheme="majorEastAsia" w:cstheme="majorBidi"/>
      <w:b/>
      <w:color w:val="FFFFFF" w:themeColor="background1"/>
      <w:sz w:val="24"/>
      <w:szCs w:val="32"/>
    </w:rPr>
  </w:style>
  <w:style w:type="paragraph" w:styleId="Heading2">
    <w:name w:val="heading 2"/>
    <w:basedOn w:val="Normal"/>
    <w:next w:val="Normal"/>
    <w:link w:val="Heading2Char"/>
    <w:uiPriority w:val="9"/>
    <w:unhideWhenUsed/>
    <w:qFormat/>
    <w:rsid w:val="00D6607D"/>
    <w:pPr>
      <w:keepNext/>
      <w:keepLines/>
      <w:spacing w:before="40" w:after="0"/>
      <w:outlineLvl w:val="1"/>
    </w:pPr>
    <w:rPr>
      <w:rFonts w:eastAsiaTheme="majorEastAsia" w:cstheme="majorBidi"/>
      <w:b/>
      <w:i/>
      <w:color w:val="44546A" w:themeColor="text2"/>
      <w:szCs w:val="26"/>
    </w:rPr>
  </w:style>
  <w:style w:type="paragraph" w:styleId="Heading3">
    <w:name w:val="heading 3"/>
    <w:basedOn w:val="Normal"/>
    <w:next w:val="Normal"/>
    <w:link w:val="Heading3Char"/>
    <w:uiPriority w:val="9"/>
    <w:unhideWhenUsed/>
    <w:qFormat/>
    <w:rsid w:val="008C31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82183"/>
    <w:pPr>
      <w:spacing w:after="0" w:line="240" w:lineRule="auto"/>
    </w:pPr>
    <w:rPr>
      <w:sz w:val="20"/>
      <w:szCs w:val="20"/>
    </w:rPr>
  </w:style>
  <w:style w:type="character" w:customStyle="1" w:styleId="EndnoteTextChar">
    <w:name w:val="Endnote Text Char"/>
    <w:basedOn w:val="DefaultParagraphFont"/>
    <w:link w:val="EndnoteText"/>
    <w:uiPriority w:val="99"/>
    <w:rsid w:val="00D82183"/>
    <w:rPr>
      <w:sz w:val="20"/>
      <w:szCs w:val="20"/>
    </w:rPr>
  </w:style>
  <w:style w:type="character" w:styleId="EndnoteReference">
    <w:name w:val="endnote reference"/>
    <w:basedOn w:val="DefaultParagraphFont"/>
    <w:uiPriority w:val="99"/>
    <w:unhideWhenUsed/>
    <w:rsid w:val="00D82183"/>
    <w:rPr>
      <w:vertAlign w:val="superscript"/>
    </w:rPr>
  </w:style>
  <w:style w:type="character" w:customStyle="1" w:styleId="Heading1Char">
    <w:name w:val="Heading 1 Char"/>
    <w:basedOn w:val="DefaultParagraphFont"/>
    <w:link w:val="Heading1"/>
    <w:uiPriority w:val="9"/>
    <w:rsid w:val="001C606F"/>
    <w:rPr>
      <w:rFonts w:eastAsiaTheme="majorEastAsia" w:cstheme="majorBidi"/>
      <w:b/>
      <w:color w:val="FFFFFF" w:themeColor="background1"/>
      <w:sz w:val="24"/>
      <w:szCs w:val="32"/>
      <w:shd w:val="clear" w:color="auto" w:fill="009999"/>
    </w:rPr>
  </w:style>
  <w:style w:type="paragraph" w:styleId="Bibliography">
    <w:name w:val="Bibliography"/>
    <w:basedOn w:val="Normal"/>
    <w:next w:val="Normal"/>
    <w:uiPriority w:val="37"/>
    <w:unhideWhenUsed/>
    <w:rsid w:val="00D82183"/>
  </w:style>
  <w:style w:type="character" w:customStyle="1" w:styleId="Heading2Char">
    <w:name w:val="Heading 2 Char"/>
    <w:basedOn w:val="DefaultParagraphFont"/>
    <w:link w:val="Heading2"/>
    <w:uiPriority w:val="9"/>
    <w:rsid w:val="00D6607D"/>
    <w:rPr>
      <w:rFonts w:eastAsiaTheme="majorEastAsia" w:cstheme="majorBidi"/>
      <w:b/>
      <w:i/>
      <w:color w:val="44546A" w:themeColor="text2"/>
      <w:szCs w:val="26"/>
    </w:rPr>
  </w:style>
  <w:style w:type="paragraph" w:styleId="ListParagraph">
    <w:name w:val="List Paragraph"/>
    <w:basedOn w:val="Normal"/>
    <w:uiPriority w:val="34"/>
    <w:qFormat/>
    <w:rsid w:val="00833AD1"/>
    <w:pPr>
      <w:ind w:left="720"/>
      <w:contextualSpacing/>
    </w:pPr>
  </w:style>
  <w:style w:type="character" w:styleId="Hyperlink">
    <w:name w:val="Hyperlink"/>
    <w:basedOn w:val="DefaultParagraphFont"/>
    <w:uiPriority w:val="99"/>
    <w:unhideWhenUsed/>
    <w:rsid w:val="00FA6BA1"/>
    <w:rPr>
      <w:color w:val="0000FF"/>
      <w:u w:val="single"/>
    </w:rPr>
  </w:style>
  <w:style w:type="character" w:customStyle="1" w:styleId="apple-converted-space">
    <w:name w:val="apple-converted-space"/>
    <w:basedOn w:val="DefaultParagraphFont"/>
    <w:rsid w:val="00FA6BA1"/>
  </w:style>
  <w:style w:type="paragraph" w:styleId="FootnoteText">
    <w:name w:val="footnote text"/>
    <w:basedOn w:val="Normal"/>
    <w:link w:val="FootnoteTextChar"/>
    <w:uiPriority w:val="99"/>
    <w:unhideWhenUsed/>
    <w:rsid w:val="00DF6638"/>
    <w:pPr>
      <w:spacing w:after="0" w:line="240" w:lineRule="auto"/>
    </w:pPr>
    <w:rPr>
      <w:sz w:val="20"/>
      <w:szCs w:val="20"/>
    </w:rPr>
  </w:style>
  <w:style w:type="character" w:customStyle="1" w:styleId="FootnoteTextChar">
    <w:name w:val="Footnote Text Char"/>
    <w:basedOn w:val="DefaultParagraphFont"/>
    <w:link w:val="FootnoteText"/>
    <w:uiPriority w:val="99"/>
    <w:rsid w:val="00DF6638"/>
    <w:rPr>
      <w:sz w:val="20"/>
      <w:szCs w:val="20"/>
    </w:rPr>
  </w:style>
  <w:style w:type="character" w:styleId="FootnoteReference">
    <w:name w:val="footnote reference"/>
    <w:basedOn w:val="DefaultParagraphFont"/>
    <w:uiPriority w:val="99"/>
    <w:unhideWhenUsed/>
    <w:rsid w:val="00DF6638"/>
    <w:rPr>
      <w:vertAlign w:val="superscript"/>
    </w:rPr>
  </w:style>
  <w:style w:type="character" w:styleId="FollowedHyperlink">
    <w:name w:val="FollowedHyperlink"/>
    <w:basedOn w:val="DefaultParagraphFont"/>
    <w:uiPriority w:val="99"/>
    <w:semiHidden/>
    <w:unhideWhenUsed/>
    <w:rsid w:val="001F41D8"/>
    <w:rPr>
      <w:color w:val="954F72" w:themeColor="followedHyperlink"/>
      <w:u w:val="single"/>
    </w:rPr>
  </w:style>
  <w:style w:type="paragraph" w:styleId="TOCHeading">
    <w:name w:val="TOC Heading"/>
    <w:basedOn w:val="Heading1"/>
    <w:next w:val="Normal"/>
    <w:uiPriority w:val="39"/>
    <w:unhideWhenUsed/>
    <w:qFormat/>
    <w:rsid w:val="00981177"/>
    <w:pPr>
      <w:shd w:val="clear" w:color="auto" w:fill="auto"/>
      <w:spacing w:before="24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210FDB"/>
    <w:pPr>
      <w:tabs>
        <w:tab w:val="left" w:pos="180"/>
        <w:tab w:val="right" w:leader="dot" w:pos="9350"/>
      </w:tabs>
      <w:spacing w:after="100"/>
      <w:ind w:left="270" w:hanging="270"/>
    </w:pPr>
    <w:rPr>
      <w:rFonts w:eastAsiaTheme="majorEastAsia" w:cstheme="majorBidi"/>
      <w:b/>
      <w:noProof/>
    </w:rPr>
  </w:style>
  <w:style w:type="paragraph" w:styleId="TOC2">
    <w:name w:val="toc 2"/>
    <w:basedOn w:val="Normal"/>
    <w:next w:val="Normal"/>
    <w:autoRedefine/>
    <w:uiPriority w:val="39"/>
    <w:unhideWhenUsed/>
    <w:rsid w:val="00517363"/>
    <w:pPr>
      <w:tabs>
        <w:tab w:val="right" w:leader="dot" w:pos="9350"/>
      </w:tabs>
      <w:spacing w:after="100"/>
      <w:ind w:left="220"/>
    </w:pPr>
    <w:rPr>
      <w:rFonts w:eastAsiaTheme="majorEastAsia" w:cstheme="majorBidi"/>
      <w:b/>
      <w:i/>
      <w:noProof/>
    </w:rPr>
  </w:style>
  <w:style w:type="paragraph" w:styleId="Header">
    <w:name w:val="header"/>
    <w:basedOn w:val="Normal"/>
    <w:link w:val="HeaderChar"/>
    <w:uiPriority w:val="99"/>
    <w:unhideWhenUsed/>
    <w:rsid w:val="00D0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7F"/>
  </w:style>
  <w:style w:type="paragraph" w:styleId="Footer">
    <w:name w:val="footer"/>
    <w:basedOn w:val="Normal"/>
    <w:link w:val="FooterChar"/>
    <w:uiPriority w:val="99"/>
    <w:unhideWhenUsed/>
    <w:rsid w:val="00D0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7F"/>
  </w:style>
  <w:style w:type="paragraph" w:styleId="NoSpacing">
    <w:name w:val="No Spacing"/>
    <w:uiPriority w:val="1"/>
    <w:qFormat/>
    <w:rsid w:val="00C42C68"/>
    <w:pPr>
      <w:spacing w:after="0" w:line="240" w:lineRule="auto"/>
    </w:pPr>
  </w:style>
  <w:style w:type="paragraph" w:styleId="BalloonText">
    <w:name w:val="Balloon Text"/>
    <w:basedOn w:val="Normal"/>
    <w:link w:val="BalloonTextChar"/>
    <w:uiPriority w:val="99"/>
    <w:semiHidden/>
    <w:unhideWhenUsed/>
    <w:rsid w:val="00943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7A5"/>
    <w:rPr>
      <w:rFonts w:ascii="Segoe UI" w:hAnsi="Segoe UI" w:cs="Segoe UI"/>
      <w:sz w:val="18"/>
      <w:szCs w:val="18"/>
    </w:rPr>
  </w:style>
  <w:style w:type="table" w:styleId="TableGrid">
    <w:name w:val="Table Grid"/>
    <w:basedOn w:val="TableNormal"/>
    <w:uiPriority w:val="59"/>
    <w:rsid w:val="009B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B720B"/>
    <w:rPr>
      <w:i/>
      <w:iCs/>
    </w:rPr>
  </w:style>
  <w:style w:type="paragraph" w:styleId="Title">
    <w:name w:val="Title"/>
    <w:basedOn w:val="Normal"/>
    <w:next w:val="Normal"/>
    <w:link w:val="TitleChar"/>
    <w:uiPriority w:val="10"/>
    <w:qFormat/>
    <w:rsid w:val="008C31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19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8C319C"/>
    <w:rPr>
      <w:rFonts w:asciiTheme="majorHAnsi" w:eastAsiaTheme="majorEastAsia" w:hAnsiTheme="majorHAnsi" w:cstheme="majorBidi"/>
      <w:color w:val="1F4D78" w:themeColor="accent1" w:themeShade="7F"/>
      <w:sz w:val="24"/>
      <w:szCs w:val="24"/>
    </w:rPr>
  </w:style>
  <w:style w:type="table" w:customStyle="1" w:styleId="PlainTable11">
    <w:name w:val="Plain Table 11"/>
    <w:basedOn w:val="TableNormal"/>
    <w:uiPriority w:val="99"/>
    <w:rsid w:val="00DA47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3">
    <w:name w:val="Plain Table 113"/>
    <w:basedOn w:val="TableNormal"/>
    <w:uiPriority w:val="99"/>
    <w:rsid w:val="009833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602D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F8410F"/>
    <w:pPr>
      <w:spacing w:after="100"/>
      <w:ind w:left="440"/>
    </w:pPr>
  </w:style>
  <w:style w:type="paragraph" w:customStyle="1" w:styleId="Default">
    <w:name w:val="Default"/>
    <w:rsid w:val="0033324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F5217"/>
    <w:rPr>
      <w:sz w:val="16"/>
      <w:szCs w:val="16"/>
    </w:rPr>
  </w:style>
  <w:style w:type="paragraph" w:styleId="CommentText">
    <w:name w:val="annotation text"/>
    <w:basedOn w:val="Normal"/>
    <w:link w:val="CommentTextChar"/>
    <w:uiPriority w:val="99"/>
    <w:semiHidden/>
    <w:unhideWhenUsed/>
    <w:rsid w:val="00EF5217"/>
    <w:pPr>
      <w:spacing w:line="240" w:lineRule="auto"/>
    </w:pPr>
    <w:rPr>
      <w:sz w:val="20"/>
      <w:szCs w:val="20"/>
    </w:rPr>
  </w:style>
  <w:style w:type="character" w:customStyle="1" w:styleId="CommentTextChar">
    <w:name w:val="Comment Text Char"/>
    <w:basedOn w:val="DefaultParagraphFont"/>
    <w:link w:val="CommentText"/>
    <w:uiPriority w:val="99"/>
    <w:semiHidden/>
    <w:rsid w:val="00EF5217"/>
    <w:rPr>
      <w:sz w:val="20"/>
      <w:szCs w:val="20"/>
    </w:rPr>
  </w:style>
  <w:style w:type="paragraph" w:styleId="CommentSubject">
    <w:name w:val="annotation subject"/>
    <w:basedOn w:val="CommentText"/>
    <w:next w:val="CommentText"/>
    <w:link w:val="CommentSubjectChar"/>
    <w:uiPriority w:val="99"/>
    <w:semiHidden/>
    <w:unhideWhenUsed/>
    <w:rsid w:val="00EF5217"/>
    <w:rPr>
      <w:b/>
      <w:bCs/>
    </w:rPr>
  </w:style>
  <w:style w:type="character" w:customStyle="1" w:styleId="CommentSubjectChar">
    <w:name w:val="Comment Subject Char"/>
    <w:basedOn w:val="CommentTextChar"/>
    <w:link w:val="CommentSubject"/>
    <w:uiPriority w:val="99"/>
    <w:semiHidden/>
    <w:rsid w:val="00EF5217"/>
    <w:rPr>
      <w:b/>
      <w:bCs/>
      <w:sz w:val="20"/>
      <w:szCs w:val="20"/>
    </w:rPr>
  </w:style>
  <w:style w:type="character" w:styleId="PlaceholderText">
    <w:name w:val="Placeholder Text"/>
    <w:basedOn w:val="DefaultParagraphFont"/>
    <w:uiPriority w:val="99"/>
    <w:semiHidden/>
    <w:rsid w:val="00554570"/>
    <w:rPr>
      <w:color w:val="808080"/>
    </w:rPr>
  </w:style>
  <w:style w:type="paragraph" w:customStyle="1" w:styleId="xmsonormal">
    <w:name w:val="x_msonormal"/>
    <w:basedOn w:val="Normal"/>
    <w:rsid w:val="00310142"/>
    <w:pPr>
      <w:spacing w:before="100" w:beforeAutospacing="1" w:after="100" w:afterAutospacing="1" w:line="240" w:lineRule="auto"/>
    </w:pPr>
    <w:rPr>
      <w:rFonts w:ascii="Times New Roman" w:hAnsi="Times New Roman" w:cs="Times New Roman"/>
      <w:sz w:val="24"/>
      <w:szCs w:val="24"/>
    </w:rPr>
  </w:style>
  <w:style w:type="table" w:customStyle="1" w:styleId="PlainTable12">
    <w:name w:val="Plain Table 12"/>
    <w:basedOn w:val="TableNormal"/>
    <w:uiPriority w:val="99"/>
    <w:rsid w:val="00D805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
    <w:name w:val="Plain Table 111"/>
    <w:basedOn w:val="TableNormal"/>
    <w:uiPriority w:val="99"/>
    <w:rsid w:val="00954A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2">
    <w:name w:val="Plain Table 112"/>
    <w:basedOn w:val="TableNormal"/>
    <w:uiPriority w:val="99"/>
    <w:rsid w:val="009C4A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ield-content">
    <w:name w:val="field-content"/>
    <w:basedOn w:val="DefaultParagraphFont"/>
    <w:rsid w:val="00147C42"/>
  </w:style>
  <w:style w:type="paragraph" w:customStyle="1" w:styleId="EndNoteBibliography">
    <w:name w:val="EndNote Bibliography"/>
    <w:basedOn w:val="Normal"/>
    <w:link w:val="EndNoteBibliographyChar"/>
    <w:rsid w:val="00F73F4F"/>
    <w:pPr>
      <w:spacing w:after="200" w:line="240" w:lineRule="auto"/>
    </w:pPr>
    <w:rPr>
      <w:rFonts w:ascii="Calibri" w:hAnsi="Calibri"/>
      <w:noProof/>
    </w:rPr>
  </w:style>
  <w:style w:type="character" w:customStyle="1" w:styleId="EndNoteBibliographyChar">
    <w:name w:val="EndNote Bibliography Char"/>
    <w:basedOn w:val="DefaultParagraphFont"/>
    <w:link w:val="EndNoteBibliography"/>
    <w:rsid w:val="00F73F4F"/>
    <w:rPr>
      <w:rFonts w:ascii="Calibri" w:hAnsi="Calibri"/>
      <w:noProof/>
    </w:rPr>
  </w:style>
  <w:style w:type="paragraph" w:styleId="Revision">
    <w:name w:val="Revision"/>
    <w:hidden/>
    <w:uiPriority w:val="99"/>
    <w:semiHidden/>
    <w:rsid w:val="0006326C"/>
    <w:pPr>
      <w:spacing w:after="0" w:line="240" w:lineRule="auto"/>
    </w:pPr>
  </w:style>
  <w:style w:type="table" w:customStyle="1" w:styleId="PlainTable13">
    <w:name w:val="Plain Table 13"/>
    <w:basedOn w:val="TableNormal"/>
    <w:uiPriority w:val="99"/>
    <w:rsid w:val="009123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lainText">
    <w:name w:val="Plain Text"/>
    <w:basedOn w:val="Normal"/>
    <w:link w:val="PlainTextChar"/>
    <w:uiPriority w:val="99"/>
    <w:unhideWhenUsed/>
    <w:rsid w:val="00DB116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B116D"/>
    <w:rPr>
      <w:rFonts w:ascii="Calibri" w:hAnsi="Calibri"/>
      <w:szCs w:val="21"/>
    </w:rPr>
  </w:style>
  <w:style w:type="table" w:styleId="MediumList1">
    <w:name w:val="Medium List 1"/>
    <w:basedOn w:val="TableNormal"/>
    <w:uiPriority w:val="65"/>
    <w:rsid w:val="00123DD8"/>
    <w:pPr>
      <w:spacing w:after="0" w:line="240" w:lineRule="auto"/>
    </w:pPr>
    <w:rPr>
      <w:rFonts w:eastAsiaTheme="minorEastAsia"/>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PlainTable5">
    <w:name w:val="Plain Table 5"/>
    <w:basedOn w:val="TableNormal"/>
    <w:uiPriority w:val="45"/>
    <w:rsid w:val="00BB7E7A"/>
    <w:pPr>
      <w:spacing w:after="0" w:line="240" w:lineRule="auto"/>
    </w:p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185">
      <w:bodyDiv w:val="1"/>
      <w:marLeft w:val="0"/>
      <w:marRight w:val="0"/>
      <w:marTop w:val="0"/>
      <w:marBottom w:val="0"/>
      <w:divBdr>
        <w:top w:val="none" w:sz="0" w:space="0" w:color="auto"/>
        <w:left w:val="none" w:sz="0" w:space="0" w:color="auto"/>
        <w:bottom w:val="none" w:sz="0" w:space="0" w:color="auto"/>
        <w:right w:val="none" w:sz="0" w:space="0" w:color="auto"/>
      </w:divBdr>
      <w:divsChild>
        <w:div w:id="1498114045">
          <w:marLeft w:val="0"/>
          <w:marRight w:val="0"/>
          <w:marTop w:val="0"/>
          <w:marBottom w:val="0"/>
          <w:divBdr>
            <w:top w:val="none" w:sz="0" w:space="0" w:color="auto"/>
            <w:left w:val="none" w:sz="0" w:space="0" w:color="auto"/>
            <w:bottom w:val="none" w:sz="0" w:space="0" w:color="auto"/>
            <w:right w:val="none" w:sz="0" w:space="0" w:color="auto"/>
          </w:divBdr>
          <w:divsChild>
            <w:div w:id="685979276">
              <w:marLeft w:val="0"/>
              <w:marRight w:val="0"/>
              <w:marTop w:val="0"/>
              <w:marBottom w:val="0"/>
              <w:divBdr>
                <w:top w:val="none" w:sz="0" w:space="0" w:color="auto"/>
                <w:left w:val="none" w:sz="0" w:space="0" w:color="auto"/>
                <w:bottom w:val="none" w:sz="0" w:space="0" w:color="auto"/>
                <w:right w:val="none" w:sz="0" w:space="0" w:color="auto"/>
              </w:divBdr>
            </w:div>
            <w:div w:id="997539433">
              <w:marLeft w:val="0"/>
              <w:marRight w:val="0"/>
              <w:marTop w:val="0"/>
              <w:marBottom w:val="0"/>
              <w:divBdr>
                <w:top w:val="none" w:sz="0" w:space="0" w:color="auto"/>
                <w:left w:val="none" w:sz="0" w:space="0" w:color="auto"/>
                <w:bottom w:val="none" w:sz="0" w:space="0" w:color="auto"/>
                <w:right w:val="none" w:sz="0" w:space="0" w:color="auto"/>
              </w:divBdr>
            </w:div>
            <w:div w:id="1654791483">
              <w:marLeft w:val="0"/>
              <w:marRight w:val="0"/>
              <w:marTop w:val="0"/>
              <w:marBottom w:val="0"/>
              <w:divBdr>
                <w:top w:val="none" w:sz="0" w:space="0" w:color="auto"/>
                <w:left w:val="none" w:sz="0" w:space="0" w:color="auto"/>
                <w:bottom w:val="none" w:sz="0" w:space="0" w:color="auto"/>
                <w:right w:val="none" w:sz="0" w:space="0" w:color="auto"/>
              </w:divBdr>
            </w:div>
            <w:div w:id="16874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30">
      <w:bodyDiv w:val="1"/>
      <w:marLeft w:val="0"/>
      <w:marRight w:val="0"/>
      <w:marTop w:val="0"/>
      <w:marBottom w:val="0"/>
      <w:divBdr>
        <w:top w:val="none" w:sz="0" w:space="0" w:color="auto"/>
        <w:left w:val="none" w:sz="0" w:space="0" w:color="auto"/>
        <w:bottom w:val="none" w:sz="0" w:space="0" w:color="auto"/>
        <w:right w:val="none" w:sz="0" w:space="0" w:color="auto"/>
      </w:divBdr>
    </w:div>
    <w:div w:id="10298682">
      <w:bodyDiv w:val="1"/>
      <w:marLeft w:val="0"/>
      <w:marRight w:val="0"/>
      <w:marTop w:val="0"/>
      <w:marBottom w:val="0"/>
      <w:divBdr>
        <w:top w:val="none" w:sz="0" w:space="0" w:color="auto"/>
        <w:left w:val="none" w:sz="0" w:space="0" w:color="auto"/>
        <w:bottom w:val="none" w:sz="0" w:space="0" w:color="auto"/>
        <w:right w:val="none" w:sz="0" w:space="0" w:color="auto"/>
      </w:divBdr>
    </w:div>
    <w:div w:id="10685354">
      <w:bodyDiv w:val="1"/>
      <w:marLeft w:val="0"/>
      <w:marRight w:val="0"/>
      <w:marTop w:val="0"/>
      <w:marBottom w:val="0"/>
      <w:divBdr>
        <w:top w:val="none" w:sz="0" w:space="0" w:color="auto"/>
        <w:left w:val="none" w:sz="0" w:space="0" w:color="auto"/>
        <w:bottom w:val="none" w:sz="0" w:space="0" w:color="auto"/>
        <w:right w:val="none" w:sz="0" w:space="0" w:color="auto"/>
      </w:divBdr>
    </w:div>
    <w:div w:id="21246032">
      <w:bodyDiv w:val="1"/>
      <w:marLeft w:val="0"/>
      <w:marRight w:val="0"/>
      <w:marTop w:val="0"/>
      <w:marBottom w:val="0"/>
      <w:divBdr>
        <w:top w:val="none" w:sz="0" w:space="0" w:color="auto"/>
        <w:left w:val="none" w:sz="0" w:space="0" w:color="auto"/>
        <w:bottom w:val="none" w:sz="0" w:space="0" w:color="auto"/>
        <w:right w:val="none" w:sz="0" w:space="0" w:color="auto"/>
      </w:divBdr>
    </w:div>
    <w:div w:id="24722543">
      <w:bodyDiv w:val="1"/>
      <w:marLeft w:val="0"/>
      <w:marRight w:val="0"/>
      <w:marTop w:val="0"/>
      <w:marBottom w:val="0"/>
      <w:divBdr>
        <w:top w:val="none" w:sz="0" w:space="0" w:color="auto"/>
        <w:left w:val="none" w:sz="0" w:space="0" w:color="auto"/>
        <w:bottom w:val="none" w:sz="0" w:space="0" w:color="auto"/>
        <w:right w:val="none" w:sz="0" w:space="0" w:color="auto"/>
      </w:divBdr>
    </w:div>
    <w:div w:id="56633461">
      <w:bodyDiv w:val="1"/>
      <w:marLeft w:val="0"/>
      <w:marRight w:val="0"/>
      <w:marTop w:val="0"/>
      <w:marBottom w:val="0"/>
      <w:divBdr>
        <w:top w:val="none" w:sz="0" w:space="0" w:color="auto"/>
        <w:left w:val="none" w:sz="0" w:space="0" w:color="auto"/>
        <w:bottom w:val="none" w:sz="0" w:space="0" w:color="auto"/>
        <w:right w:val="none" w:sz="0" w:space="0" w:color="auto"/>
      </w:divBdr>
    </w:div>
    <w:div w:id="64497940">
      <w:bodyDiv w:val="1"/>
      <w:marLeft w:val="0"/>
      <w:marRight w:val="0"/>
      <w:marTop w:val="0"/>
      <w:marBottom w:val="0"/>
      <w:divBdr>
        <w:top w:val="none" w:sz="0" w:space="0" w:color="auto"/>
        <w:left w:val="none" w:sz="0" w:space="0" w:color="auto"/>
        <w:bottom w:val="none" w:sz="0" w:space="0" w:color="auto"/>
        <w:right w:val="none" w:sz="0" w:space="0" w:color="auto"/>
      </w:divBdr>
    </w:div>
    <w:div w:id="74859024">
      <w:bodyDiv w:val="1"/>
      <w:marLeft w:val="0"/>
      <w:marRight w:val="0"/>
      <w:marTop w:val="0"/>
      <w:marBottom w:val="0"/>
      <w:divBdr>
        <w:top w:val="none" w:sz="0" w:space="0" w:color="auto"/>
        <w:left w:val="none" w:sz="0" w:space="0" w:color="auto"/>
        <w:bottom w:val="none" w:sz="0" w:space="0" w:color="auto"/>
        <w:right w:val="none" w:sz="0" w:space="0" w:color="auto"/>
      </w:divBdr>
    </w:div>
    <w:div w:id="81075877">
      <w:bodyDiv w:val="1"/>
      <w:marLeft w:val="0"/>
      <w:marRight w:val="0"/>
      <w:marTop w:val="0"/>
      <w:marBottom w:val="0"/>
      <w:divBdr>
        <w:top w:val="none" w:sz="0" w:space="0" w:color="auto"/>
        <w:left w:val="none" w:sz="0" w:space="0" w:color="auto"/>
        <w:bottom w:val="none" w:sz="0" w:space="0" w:color="auto"/>
        <w:right w:val="none" w:sz="0" w:space="0" w:color="auto"/>
      </w:divBdr>
    </w:div>
    <w:div w:id="115564220">
      <w:bodyDiv w:val="1"/>
      <w:marLeft w:val="0"/>
      <w:marRight w:val="0"/>
      <w:marTop w:val="0"/>
      <w:marBottom w:val="0"/>
      <w:divBdr>
        <w:top w:val="none" w:sz="0" w:space="0" w:color="auto"/>
        <w:left w:val="none" w:sz="0" w:space="0" w:color="auto"/>
        <w:bottom w:val="none" w:sz="0" w:space="0" w:color="auto"/>
        <w:right w:val="none" w:sz="0" w:space="0" w:color="auto"/>
      </w:divBdr>
    </w:div>
    <w:div w:id="126555259">
      <w:bodyDiv w:val="1"/>
      <w:marLeft w:val="0"/>
      <w:marRight w:val="0"/>
      <w:marTop w:val="0"/>
      <w:marBottom w:val="0"/>
      <w:divBdr>
        <w:top w:val="none" w:sz="0" w:space="0" w:color="auto"/>
        <w:left w:val="none" w:sz="0" w:space="0" w:color="auto"/>
        <w:bottom w:val="none" w:sz="0" w:space="0" w:color="auto"/>
        <w:right w:val="none" w:sz="0" w:space="0" w:color="auto"/>
      </w:divBdr>
    </w:div>
    <w:div w:id="127668580">
      <w:bodyDiv w:val="1"/>
      <w:marLeft w:val="0"/>
      <w:marRight w:val="0"/>
      <w:marTop w:val="0"/>
      <w:marBottom w:val="0"/>
      <w:divBdr>
        <w:top w:val="none" w:sz="0" w:space="0" w:color="auto"/>
        <w:left w:val="none" w:sz="0" w:space="0" w:color="auto"/>
        <w:bottom w:val="none" w:sz="0" w:space="0" w:color="auto"/>
        <w:right w:val="none" w:sz="0" w:space="0" w:color="auto"/>
      </w:divBdr>
    </w:div>
    <w:div w:id="130441951">
      <w:bodyDiv w:val="1"/>
      <w:marLeft w:val="0"/>
      <w:marRight w:val="0"/>
      <w:marTop w:val="0"/>
      <w:marBottom w:val="0"/>
      <w:divBdr>
        <w:top w:val="none" w:sz="0" w:space="0" w:color="auto"/>
        <w:left w:val="none" w:sz="0" w:space="0" w:color="auto"/>
        <w:bottom w:val="none" w:sz="0" w:space="0" w:color="auto"/>
        <w:right w:val="none" w:sz="0" w:space="0" w:color="auto"/>
      </w:divBdr>
    </w:div>
    <w:div w:id="146242654">
      <w:bodyDiv w:val="1"/>
      <w:marLeft w:val="0"/>
      <w:marRight w:val="0"/>
      <w:marTop w:val="0"/>
      <w:marBottom w:val="0"/>
      <w:divBdr>
        <w:top w:val="none" w:sz="0" w:space="0" w:color="auto"/>
        <w:left w:val="none" w:sz="0" w:space="0" w:color="auto"/>
        <w:bottom w:val="none" w:sz="0" w:space="0" w:color="auto"/>
        <w:right w:val="none" w:sz="0" w:space="0" w:color="auto"/>
      </w:divBdr>
    </w:div>
    <w:div w:id="161355845">
      <w:bodyDiv w:val="1"/>
      <w:marLeft w:val="0"/>
      <w:marRight w:val="0"/>
      <w:marTop w:val="0"/>
      <w:marBottom w:val="0"/>
      <w:divBdr>
        <w:top w:val="none" w:sz="0" w:space="0" w:color="auto"/>
        <w:left w:val="none" w:sz="0" w:space="0" w:color="auto"/>
        <w:bottom w:val="none" w:sz="0" w:space="0" w:color="auto"/>
        <w:right w:val="none" w:sz="0" w:space="0" w:color="auto"/>
      </w:divBdr>
    </w:div>
    <w:div w:id="166483371">
      <w:bodyDiv w:val="1"/>
      <w:marLeft w:val="0"/>
      <w:marRight w:val="0"/>
      <w:marTop w:val="0"/>
      <w:marBottom w:val="0"/>
      <w:divBdr>
        <w:top w:val="none" w:sz="0" w:space="0" w:color="auto"/>
        <w:left w:val="none" w:sz="0" w:space="0" w:color="auto"/>
        <w:bottom w:val="none" w:sz="0" w:space="0" w:color="auto"/>
        <w:right w:val="none" w:sz="0" w:space="0" w:color="auto"/>
      </w:divBdr>
    </w:div>
    <w:div w:id="178592639">
      <w:bodyDiv w:val="1"/>
      <w:marLeft w:val="0"/>
      <w:marRight w:val="0"/>
      <w:marTop w:val="0"/>
      <w:marBottom w:val="0"/>
      <w:divBdr>
        <w:top w:val="none" w:sz="0" w:space="0" w:color="auto"/>
        <w:left w:val="none" w:sz="0" w:space="0" w:color="auto"/>
        <w:bottom w:val="none" w:sz="0" w:space="0" w:color="auto"/>
        <w:right w:val="none" w:sz="0" w:space="0" w:color="auto"/>
      </w:divBdr>
      <w:divsChild>
        <w:div w:id="1936160109">
          <w:marLeft w:val="0"/>
          <w:marRight w:val="0"/>
          <w:marTop w:val="0"/>
          <w:marBottom w:val="0"/>
          <w:divBdr>
            <w:top w:val="none" w:sz="0" w:space="0" w:color="auto"/>
            <w:left w:val="none" w:sz="0" w:space="0" w:color="auto"/>
            <w:bottom w:val="none" w:sz="0" w:space="0" w:color="auto"/>
            <w:right w:val="none" w:sz="0" w:space="0" w:color="auto"/>
          </w:divBdr>
          <w:divsChild>
            <w:div w:id="582110610">
              <w:marLeft w:val="0"/>
              <w:marRight w:val="0"/>
              <w:marTop w:val="0"/>
              <w:marBottom w:val="0"/>
              <w:divBdr>
                <w:top w:val="none" w:sz="0" w:space="0" w:color="auto"/>
                <w:left w:val="none" w:sz="0" w:space="0" w:color="auto"/>
                <w:bottom w:val="none" w:sz="0" w:space="0" w:color="auto"/>
                <w:right w:val="none" w:sz="0" w:space="0" w:color="auto"/>
              </w:divBdr>
            </w:div>
            <w:div w:id="756097269">
              <w:marLeft w:val="0"/>
              <w:marRight w:val="0"/>
              <w:marTop w:val="0"/>
              <w:marBottom w:val="0"/>
              <w:divBdr>
                <w:top w:val="none" w:sz="0" w:space="0" w:color="auto"/>
                <w:left w:val="none" w:sz="0" w:space="0" w:color="auto"/>
                <w:bottom w:val="none" w:sz="0" w:space="0" w:color="auto"/>
                <w:right w:val="none" w:sz="0" w:space="0" w:color="auto"/>
              </w:divBdr>
            </w:div>
            <w:div w:id="1957180017">
              <w:marLeft w:val="0"/>
              <w:marRight w:val="0"/>
              <w:marTop w:val="0"/>
              <w:marBottom w:val="0"/>
              <w:divBdr>
                <w:top w:val="none" w:sz="0" w:space="0" w:color="auto"/>
                <w:left w:val="none" w:sz="0" w:space="0" w:color="auto"/>
                <w:bottom w:val="none" w:sz="0" w:space="0" w:color="auto"/>
                <w:right w:val="none" w:sz="0" w:space="0" w:color="auto"/>
              </w:divBdr>
            </w:div>
            <w:div w:id="20769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2747">
      <w:bodyDiv w:val="1"/>
      <w:marLeft w:val="0"/>
      <w:marRight w:val="0"/>
      <w:marTop w:val="0"/>
      <w:marBottom w:val="0"/>
      <w:divBdr>
        <w:top w:val="none" w:sz="0" w:space="0" w:color="auto"/>
        <w:left w:val="none" w:sz="0" w:space="0" w:color="auto"/>
        <w:bottom w:val="none" w:sz="0" w:space="0" w:color="auto"/>
        <w:right w:val="none" w:sz="0" w:space="0" w:color="auto"/>
      </w:divBdr>
    </w:div>
    <w:div w:id="220409590">
      <w:bodyDiv w:val="1"/>
      <w:marLeft w:val="0"/>
      <w:marRight w:val="0"/>
      <w:marTop w:val="0"/>
      <w:marBottom w:val="0"/>
      <w:divBdr>
        <w:top w:val="none" w:sz="0" w:space="0" w:color="auto"/>
        <w:left w:val="none" w:sz="0" w:space="0" w:color="auto"/>
        <w:bottom w:val="none" w:sz="0" w:space="0" w:color="auto"/>
        <w:right w:val="none" w:sz="0" w:space="0" w:color="auto"/>
      </w:divBdr>
    </w:div>
    <w:div w:id="221329712">
      <w:bodyDiv w:val="1"/>
      <w:marLeft w:val="0"/>
      <w:marRight w:val="0"/>
      <w:marTop w:val="0"/>
      <w:marBottom w:val="0"/>
      <w:divBdr>
        <w:top w:val="none" w:sz="0" w:space="0" w:color="auto"/>
        <w:left w:val="none" w:sz="0" w:space="0" w:color="auto"/>
        <w:bottom w:val="none" w:sz="0" w:space="0" w:color="auto"/>
        <w:right w:val="none" w:sz="0" w:space="0" w:color="auto"/>
      </w:divBdr>
    </w:div>
    <w:div w:id="236868962">
      <w:bodyDiv w:val="1"/>
      <w:marLeft w:val="0"/>
      <w:marRight w:val="0"/>
      <w:marTop w:val="0"/>
      <w:marBottom w:val="0"/>
      <w:divBdr>
        <w:top w:val="none" w:sz="0" w:space="0" w:color="auto"/>
        <w:left w:val="none" w:sz="0" w:space="0" w:color="auto"/>
        <w:bottom w:val="none" w:sz="0" w:space="0" w:color="auto"/>
        <w:right w:val="none" w:sz="0" w:space="0" w:color="auto"/>
      </w:divBdr>
    </w:div>
    <w:div w:id="241179181">
      <w:bodyDiv w:val="1"/>
      <w:marLeft w:val="0"/>
      <w:marRight w:val="0"/>
      <w:marTop w:val="0"/>
      <w:marBottom w:val="0"/>
      <w:divBdr>
        <w:top w:val="none" w:sz="0" w:space="0" w:color="auto"/>
        <w:left w:val="none" w:sz="0" w:space="0" w:color="auto"/>
        <w:bottom w:val="none" w:sz="0" w:space="0" w:color="auto"/>
        <w:right w:val="none" w:sz="0" w:space="0" w:color="auto"/>
      </w:divBdr>
    </w:div>
    <w:div w:id="259680075">
      <w:bodyDiv w:val="1"/>
      <w:marLeft w:val="0"/>
      <w:marRight w:val="0"/>
      <w:marTop w:val="0"/>
      <w:marBottom w:val="0"/>
      <w:divBdr>
        <w:top w:val="none" w:sz="0" w:space="0" w:color="auto"/>
        <w:left w:val="none" w:sz="0" w:space="0" w:color="auto"/>
        <w:bottom w:val="none" w:sz="0" w:space="0" w:color="auto"/>
        <w:right w:val="none" w:sz="0" w:space="0" w:color="auto"/>
      </w:divBdr>
    </w:div>
    <w:div w:id="266276154">
      <w:bodyDiv w:val="1"/>
      <w:marLeft w:val="0"/>
      <w:marRight w:val="0"/>
      <w:marTop w:val="0"/>
      <w:marBottom w:val="0"/>
      <w:divBdr>
        <w:top w:val="none" w:sz="0" w:space="0" w:color="auto"/>
        <w:left w:val="none" w:sz="0" w:space="0" w:color="auto"/>
        <w:bottom w:val="none" w:sz="0" w:space="0" w:color="auto"/>
        <w:right w:val="none" w:sz="0" w:space="0" w:color="auto"/>
      </w:divBdr>
    </w:div>
    <w:div w:id="268120830">
      <w:bodyDiv w:val="1"/>
      <w:marLeft w:val="0"/>
      <w:marRight w:val="0"/>
      <w:marTop w:val="0"/>
      <w:marBottom w:val="0"/>
      <w:divBdr>
        <w:top w:val="none" w:sz="0" w:space="0" w:color="auto"/>
        <w:left w:val="none" w:sz="0" w:space="0" w:color="auto"/>
        <w:bottom w:val="none" w:sz="0" w:space="0" w:color="auto"/>
        <w:right w:val="none" w:sz="0" w:space="0" w:color="auto"/>
      </w:divBdr>
    </w:div>
    <w:div w:id="275717215">
      <w:bodyDiv w:val="1"/>
      <w:marLeft w:val="0"/>
      <w:marRight w:val="0"/>
      <w:marTop w:val="0"/>
      <w:marBottom w:val="0"/>
      <w:divBdr>
        <w:top w:val="none" w:sz="0" w:space="0" w:color="auto"/>
        <w:left w:val="none" w:sz="0" w:space="0" w:color="auto"/>
        <w:bottom w:val="none" w:sz="0" w:space="0" w:color="auto"/>
        <w:right w:val="none" w:sz="0" w:space="0" w:color="auto"/>
      </w:divBdr>
    </w:div>
    <w:div w:id="315451286">
      <w:bodyDiv w:val="1"/>
      <w:marLeft w:val="0"/>
      <w:marRight w:val="0"/>
      <w:marTop w:val="0"/>
      <w:marBottom w:val="0"/>
      <w:divBdr>
        <w:top w:val="none" w:sz="0" w:space="0" w:color="auto"/>
        <w:left w:val="none" w:sz="0" w:space="0" w:color="auto"/>
        <w:bottom w:val="none" w:sz="0" w:space="0" w:color="auto"/>
        <w:right w:val="none" w:sz="0" w:space="0" w:color="auto"/>
      </w:divBdr>
    </w:div>
    <w:div w:id="320621327">
      <w:bodyDiv w:val="1"/>
      <w:marLeft w:val="0"/>
      <w:marRight w:val="0"/>
      <w:marTop w:val="0"/>
      <w:marBottom w:val="0"/>
      <w:divBdr>
        <w:top w:val="none" w:sz="0" w:space="0" w:color="auto"/>
        <w:left w:val="none" w:sz="0" w:space="0" w:color="auto"/>
        <w:bottom w:val="none" w:sz="0" w:space="0" w:color="auto"/>
        <w:right w:val="none" w:sz="0" w:space="0" w:color="auto"/>
      </w:divBdr>
    </w:div>
    <w:div w:id="329530731">
      <w:bodyDiv w:val="1"/>
      <w:marLeft w:val="0"/>
      <w:marRight w:val="0"/>
      <w:marTop w:val="0"/>
      <w:marBottom w:val="0"/>
      <w:divBdr>
        <w:top w:val="none" w:sz="0" w:space="0" w:color="auto"/>
        <w:left w:val="none" w:sz="0" w:space="0" w:color="auto"/>
        <w:bottom w:val="none" w:sz="0" w:space="0" w:color="auto"/>
        <w:right w:val="none" w:sz="0" w:space="0" w:color="auto"/>
      </w:divBdr>
    </w:div>
    <w:div w:id="332729970">
      <w:bodyDiv w:val="1"/>
      <w:marLeft w:val="0"/>
      <w:marRight w:val="0"/>
      <w:marTop w:val="0"/>
      <w:marBottom w:val="0"/>
      <w:divBdr>
        <w:top w:val="none" w:sz="0" w:space="0" w:color="auto"/>
        <w:left w:val="none" w:sz="0" w:space="0" w:color="auto"/>
        <w:bottom w:val="none" w:sz="0" w:space="0" w:color="auto"/>
        <w:right w:val="none" w:sz="0" w:space="0" w:color="auto"/>
      </w:divBdr>
    </w:div>
    <w:div w:id="334186185">
      <w:bodyDiv w:val="1"/>
      <w:marLeft w:val="0"/>
      <w:marRight w:val="0"/>
      <w:marTop w:val="0"/>
      <w:marBottom w:val="0"/>
      <w:divBdr>
        <w:top w:val="none" w:sz="0" w:space="0" w:color="auto"/>
        <w:left w:val="none" w:sz="0" w:space="0" w:color="auto"/>
        <w:bottom w:val="none" w:sz="0" w:space="0" w:color="auto"/>
        <w:right w:val="none" w:sz="0" w:space="0" w:color="auto"/>
      </w:divBdr>
    </w:div>
    <w:div w:id="339501961">
      <w:bodyDiv w:val="1"/>
      <w:marLeft w:val="0"/>
      <w:marRight w:val="0"/>
      <w:marTop w:val="0"/>
      <w:marBottom w:val="0"/>
      <w:divBdr>
        <w:top w:val="none" w:sz="0" w:space="0" w:color="auto"/>
        <w:left w:val="none" w:sz="0" w:space="0" w:color="auto"/>
        <w:bottom w:val="none" w:sz="0" w:space="0" w:color="auto"/>
        <w:right w:val="none" w:sz="0" w:space="0" w:color="auto"/>
      </w:divBdr>
    </w:div>
    <w:div w:id="412090757">
      <w:bodyDiv w:val="1"/>
      <w:marLeft w:val="0"/>
      <w:marRight w:val="0"/>
      <w:marTop w:val="0"/>
      <w:marBottom w:val="0"/>
      <w:divBdr>
        <w:top w:val="none" w:sz="0" w:space="0" w:color="auto"/>
        <w:left w:val="none" w:sz="0" w:space="0" w:color="auto"/>
        <w:bottom w:val="none" w:sz="0" w:space="0" w:color="auto"/>
        <w:right w:val="none" w:sz="0" w:space="0" w:color="auto"/>
      </w:divBdr>
    </w:div>
    <w:div w:id="418017924">
      <w:bodyDiv w:val="1"/>
      <w:marLeft w:val="0"/>
      <w:marRight w:val="0"/>
      <w:marTop w:val="0"/>
      <w:marBottom w:val="0"/>
      <w:divBdr>
        <w:top w:val="none" w:sz="0" w:space="0" w:color="auto"/>
        <w:left w:val="none" w:sz="0" w:space="0" w:color="auto"/>
        <w:bottom w:val="none" w:sz="0" w:space="0" w:color="auto"/>
        <w:right w:val="none" w:sz="0" w:space="0" w:color="auto"/>
      </w:divBdr>
    </w:div>
    <w:div w:id="447511139">
      <w:bodyDiv w:val="1"/>
      <w:marLeft w:val="0"/>
      <w:marRight w:val="0"/>
      <w:marTop w:val="0"/>
      <w:marBottom w:val="0"/>
      <w:divBdr>
        <w:top w:val="none" w:sz="0" w:space="0" w:color="auto"/>
        <w:left w:val="none" w:sz="0" w:space="0" w:color="auto"/>
        <w:bottom w:val="none" w:sz="0" w:space="0" w:color="auto"/>
        <w:right w:val="none" w:sz="0" w:space="0" w:color="auto"/>
      </w:divBdr>
    </w:div>
    <w:div w:id="459765199">
      <w:bodyDiv w:val="1"/>
      <w:marLeft w:val="0"/>
      <w:marRight w:val="0"/>
      <w:marTop w:val="0"/>
      <w:marBottom w:val="0"/>
      <w:divBdr>
        <w:top w:val="none" w:sz="0" w:space="0" w:color="auto"/>
        <w:left w:val="none" w:sz="0" w:space="0" w:color="auto"/>
        <w:bottom w:val="none" w:sz="0" w:space="0" w:color="auto"/>
        <w:right w:val="none" w:sz="0" w:space="0" w:color="auto"/>
      </w:divBdr>
    </w:div>
    <w:div w:id="461386709">
      <w:bodyDiv w:val="1"/>
      <w:marLeft w:val="0"/>
      <w:marRight w:val="0"/>
      <w:marTop w:val="0"/>
      <w:marBottom w:val="0"/>
      <w:divBdr>
        <w:top w:val="none" w:sz="0" w:space="0" w:color="auto"/>
        <w:left w:val="none" w:sz="0" w:space="0" w:color="auto"/>
        <w:bottom w:val="none" w:sz="0" w:space="0" w:color="auto"/>
        <w:right w:val="none" w:sz="0" w:space="0" w:color="auto"/>
      </w:divBdr>
    </w:div>
    <w:div w:id="497115983">
      <w:bodyDiv w:val="1"/>
      <w:marLeft w:val="0"/>
      <w:marRight w:val="0"/>
      <w:marTop w:val="0"/>
      <w:marBottom w:val="0"/>
      <w:divBdr>
        <w:top w:val="none" w:sz="0" w:space="0" w:color="auto"/>
        <w:left w:val="none" w:sz="0" w:space="0" w:color="auto"/>
        <w:bottom w:val="none" w:sz="0" w:space="0" w:color="auto"/>
        <w:right w:val="none" w:sz="0" w:space="0" w:color="auto"/>
      </w:divBdr>
    </w:div>
    <w:div w:id="526598890">
      <w:bodyDiv w:val="1"/>
      <w:marLeft w:val="0"/>
      <w:marRight w:val="0"/>
      <w:marTop w:val="0"/>
      <w:marBottom w:val="0"/>
      <w:divBdr>
        <w:top w:val="none" w:sz="0" w:space="0" w:color="auto"/>
        <w:left w:val="none" w:sz="0" w:space="0" w:color="auto"/>
        <w:bottom w:val="none" w:sz="0" w:space="0" w:color="auto"/>
        <w:right w:val="none" w:sz="0" w:space="0" w:color="auto"/>
      </w:divBdr>
    </w:div>
    <w:div w:id="540174255">
      <w:bodyDiv w:val="1"/>
      <w:marLeft w:val="0"/>
      <w:marRight w:val="0"/>
      <w:marTop w:val="0"/>
      <w:marBottom w:val="0"/>
      <w:divBdr>
        <w:top w:val="none" w:sz="0" w:space="0" w:color="auto"/>
        <w:left w:val="none" w:sz="0" w:space="0" w:color="auto"/>
        <w:bottom w:val="none" w:sz="0" w:space="0" w:color="auto"/>
        <w:right w:val="none" w:sz="0" w:space="0" w:color="auto"/>
      </w:divBdr>
    </w:div>
    <w:div w:id="548542133">
      <w:bodyDiv w:val="1"/>
      <w:marLeft w:val="0"/>
      <w:marRight w:val="0"/>
      <w:marTop w:val="0"/>
      <w:marBottom w:val="0"/>
      <w:divBdr>
        <w:top w:val="none" w:sz="0" w:space="0" w:color="auto"/>
        <w:left w:val="none" w:sz="0" w:space="0" w:color="auto"/>
        <w:bottom w:val="none" w:sz="0" w:space="0" w:color="auto"/>
        <w:right w:val="none" w:sz="0" w:space="0" w:color="auto"/>
      </w:divBdr>
    </w:div>
    <w:div w:id="549343519">
      <w:bodyDiv w:val="1"/>
      <w:marLeft w:val="0"/>
      <w:marRight w:val="0"/>
      <w:marTop w:val="0"/>
      <w:marBottom w:val="0"/>
      <w:divBdr>
        <w:top w:val="none" w:sz="0" w:space="0" w:color="auto"/>
        <w:left w:val="none" w:sz="0" w:space="0" w:color="auto"/>
        <w:bottom w:val="none" w:sz="0" w:space="0" w:color="auto"/>
        <w:right w:val="none" w:sz="0" w:space="0" w:color="auto"/>
      </w:divBdr>
    </w:div>
    <w:div w:id="563373943">
      <w:bodyDiv w:val="1"/>
      <w:marLeft w:val="0"/>
      <w:marRight w:val="0"/>
      <w:marTop w:val="0"/>
      <w:marBottom w:val="0"/>
      <w:divBdr>
        <w:top w:val="none" w:sz="0" w:space="0" w:color="auto"/>
        <w:left w:val="none" w:sz="0" w:space="0" w:color="auto"/>
        <w:bottom w:val="none" w:sz="0" w:space="0" w:color="auto"/>
        <w:right w:val="none" w:sz="0" w:space="0" w:color="auto"/>
      </w:divBdr>
    </w:div>
    <w:div w:id="586692022">
      <w:bodyDiv w:val="1"/>
      <w:marLeft w:val="0"/>
      <w:marRight w:val="0"/>
      <w:marTop w:val="0"/>
      <w:marBottom w:val="0"/>
      <w:divBdr>
        <w:top w:val="none" w:sz="0" w:space="0" w:color="auto"/>
        <w:left w:val="none" w:sz="0" w:space="0" w:color="auto"/>
        <w:bottom w:val="none" w:sz="0" w:space="0" w:color="auto"/>
        <w:right w:val="none" w:sz="0" w:space="0" w:color="auto"/>
      </w:divBdr>
    </w:div>
    <w:div w:id="593512947">
      <w:bodyDiv w:val="1"/>
      <w:marLeft w:val="0"/>
      <w:marRight w:val="0"/>
      <w:marTop w:val="0"/>
      <w:marBottom w:val="0"/>
      <w:divBdr>
        <w:top w:val="none" w:sz="0" w:space="0" w:color="auto"/>
        <w:left w:val="none" w:sz="0" w:space="0" w:color="auto"/>
        <w:bottom w:val="none" w:sz="0" w:space="0" w:color="auto"/>
        <w:right w:val="none" w:sz="0" w:space="0" w:color="auto"/>
      </w:divBdr>
    </w:div>
    <w:div w:id="597102456">
      <w:bodyDiv w:val="1"/>
      <w:marLeft w:val="0"/>
      <w:marRight w:val="0"/>
      <w:marTop w:val="0"/>
      <w:marBottom w:val="0"/>
      <w:divBdr>
        <w:top w:val="none" w:sz="0" w:space="0" w:color="auto"/>
        <w:left w:val="none" w:sz="0" w:space="0" w:color="auto"/>
        <w:bottom w:val="none" w:sz="0" w:space="0" w:color="auto"/>
        <w:right w:val="none" w:sz="0" w:space="0" w:color="auto"/>
      </w:divBdr>
    </w:div>
    <w:div w:id="600340655">
      <w:bodyDiv w:val="1"/>
      <w:marLeft w:val="0"/>
      <w:marRight w:val="0"/>
      <w:marTop w:val="0"/>
      <w:marBottom w:val="0"/>
      <w:divBdr>
        <w:top w:val="none" w:sz="0" w:space="0" w:color="auto"/>
        <w:left w:val="none" w:sz="0" w:space="0" w:color="auto"/>
        <w:bottom w:val="none" w:sz="0" w:space="0" w:color="auto"/>
        <w:right w:val="none" w:sz="0" w:space="0" w:color="auto"/>
      </w:divBdr>
    </w:div>
    <w:div w:id="613293353">
      <w:bodyDiv w:val="1"/>
      <w:marLeft w:val="0"/>
      <w:marRight w:val="0"/>
      <w:marTop w:val="0"/>
      <w:marBottom w:val="0"/>
      <w:divBdr>
        <w:top w:val="none" w:sz="0" w:space="0" w:color="auto"/>
        <w:left w:val="none" w:sz="0" w:space="0" w:color="auto"/>
        <w:bottom w:val="none" w:sz="0" w:space="0" w:color="auto"/>
        <w:right w:val="none" w:sz="0" w:space="0" w:color="auto"/>
      </w:divBdr>
    </w:div>
    <w:div w:id="621115565">
      <w:bodyDiv w:val="1"/>
      <w:marLeft w:val="0"/>
      <w:marRight w:val="0"/>
      <w:marTop w:val="0"/>
      <w:marBottom w:val="0"/>
      <w:divBdr>
        <w:top w:val="none" w:sz="0" w:space="0" w:color="auto"/>
        <w:left w:val="none" w:sz="0" w:space="0" w:color="auto"/>
        <w:bottom w:val="none" w:sz="0" w:space="0" w:color="auto"/>
        <w:right w:val="none" w:sz="0" w:space="0" w:color="auto"/>
      </w:divBdr>
    </w:div>
    <w:div w:id="624696693">
      <w:bodyDiv w:val="1"/>
      <w:marLeft w:val="0"/>
      <w:marRight w:val="0"/>
      <w:marTop w:val="0"/>
      <w:marBottom w:val="0"/>
      <w:divBdr>
        <w:top w:val="none" w:sz="0" w:space="0" w:color="auto"/>
        <w:left w:val="none" w:sz="0" w:space="0" w:color="auto"/>
        <w:bottom w:val="none" w:sz="0" w:space="0" w:color="auto"/>
        <w:right w:val="none" w:sz="0" w:space="0" w:color="auto"/>
      </w:divBdr>
    </w:div>
    <w:div w:id="660810984">
      <w:bodyDiv w:val="1"/>
      <w:marLeft w:val="0"/>
      <w:marRight w:val="0"/>
      <w:marTop w:val="0"/>
      <w:marBottom w:val="0"/>
      <w:divBdr>
        <w:top w:val="none" w:sz="0" w:space="0" w:color="auto"/>
        <w:left w:val="none" w:sz="0" w:space="0" w:color="auto"/>
        <w:bottom w:val="none" w:sz="0" w:space="0" w:color="auto"/>
        <w:right w:val="none" w:sz="0" w:space="0" w:color="auto"/>
      </w:divBdr>
    </w:div>
    <w:div w:id="661272064">
      <w:bodyDiv w:val="1"/>
      <w:marLeft w:val="0"/>
      <w:marRight w:val="0"/>
      <w:marTop w:val="0"/>
      <w:marBottom w:val="0"/>
      <w:divBdr>
        <w:top w:val="none" w:sz="0" w:space="0" w:color="auto"/>
        <w:left w:val="none" w:sz="0" w:space="0" w:color="auto"/>
        <w:bottom w:val="none" w:sz="0" w:space="0" w:color="auto"/>
        <w:right w:val="none" w:sz="0" w:space="0" w:color="auto"/>
      </w:divBdr>
    </w:div>
    <w:div w:id="673068113">
      <w:bodyDiv w:val="1"/>
      <w:marLeft w:val="0"/>
      <w:marRight w:val="0"/>
      <w:marTop w:val="0"/>
      <w:marBottom w:val="0"/>
      <w:divBdr>
        <w:top w:val="none" w:sz="0" w:space="0" w:color="auto"/>
        <w:left w:val="none" w:sz="0" w:space="0" w:color="auto"/>
        <w:bottom w:val="none" w:sz="0" w:space="0" w:color="auto"/>
        <w:right w:val="none" w:sz="0" w:space="0" w:color="auto"/>
      </w:divBdr>
    </w:div>
    <w:div w:id="685331189">
      <w:bodyDiv w:val="1"/>
      <w:marLeft w:val="0"/>
      <w:marRight w:val="0"/>
      <w:marTop w:val="0"/>
      <w:marBottom w:val="0"/>
      <w:divBdr>
        <w:top w:val="none" w:sz="0" w:space="0" w:color="auto"/>
        <w:left w:val="none" w:sz="0" w:space="0" w:color="auto"/>
        <w:bottom w:val="none" w:sz="0" w:space="0" w:color="auto"/>
        <w:right w:val="none" w:sz="0" w:space="0" w:color="auto"/>
      </w:divBdr>
    </w:div>
    <w:div w:id="700323944">
      <w:bodyDiv w:val="1"/>
      <w:marLeft w:val="0"/>
      <w:marRight w:val="0"/>
      <w:marTop w:val="0"/>
      <w:marBottom w:val="0"/>
      <w:divBdr>
        <w:top w:val="none" w:sz="0" w:space="0" w:color="auto"/>
        <w:left w:val="none" w:sz="0" w:space="0" w:color="auto"/>
        <w:bottom w:val="none" w:sz="0" w:space="0" w:color="auto"/>
        <w:right w:val="none" w:sz="0" w:space="0" w:color="auto"/>
      </w:divBdr>
    </w:div>
    <w:div w:id="701980096">
      <w:bodyDiv w:val="1"/>
      <w:marLeft w:val="0"/>
      <w:marRight w:val="0"/>
      <w:marTop w:val="0"/>
      <w:marBottom w:val="0"/>
      <w:divBdr>
        <w:top w:val="none" w:sz="0" w:space="0" w:color="auto"/>
        <w:left w:val="none" w:sz="0" w:space="0" w:color="auto"/>
        <w:bottom w:val="none" w:sz="0" w:space="0" w:color="auto"/>
        <w:right w:val="none" w:sz="0" w:space="0" w:color="auto"/>
      </w:divBdr>
    </w:div>
    <w:div w:id="716121693">
      <w:bodyDiv w:val="1"/>
      <w:marLeft w:val="0"/>
      <w:marRight w:val="0"/>
      <w:marTop w:val="0"/>
      <w:marBottom w:val="0"/>
      <w:divBdr>
        <w:top w:val="none" w:sz="0" w:space="0" w:color="auto"/>
        <w:left w:val="none" w:sz="0" w:space="0" w:color="auto"/>
        <w:bottom w:val="none" w:sz="0" w:space="0" w:color="auto"/>
        <w:right w:val="none" w:sz="0" w:space="0" w:color="auto"/>
      </w:divBdr>
    </w:div>
    <w:div w:id="724645232">
      <w:bodyDiv w:val="1"/>
      <w:marLeft w:val="0"/>
      <w:marRight w:val="0"/>
      <w:marTop w:val="0"/>
      <w:marBottom w:val="0"/>
      <w:divBdr>
        <w:top w:val="none" w:sz="0" w:space="0" w:color="auto"/>
        <w:left w:val="none" w:sz="0" w:space="0" w:color="auto"/>
        <w:bottom w:val="none" w:sz="0" w:space="0" w:color="auto"/>
        <w:right w:val="none" w:sz="0" w:space="0" w:color="auto"/>
      </w:divBdr>
    </w:div>
    <w:div w:id="769282504">
      <w:bodyDiv w:val="1"/>
      <w:marLeft w:val="0"/>
      <w:marRight w:val="0"/>
      <w:marTop w:val="0"/>
      <w:marBottom w:val="0"/>
      <w:divBdr>
        <w:top w:val="none" w:sz="0" w:space="0" w:color="auto"/>
        <w:left w:val="none" w:sz="0" w:space="0" w:color="auto"/>
        <w:bottom w:val="none" w:sz="0" w:space="0" w:color="auto"/>
        <w:right w:val="none" w:sz="0" w:space="0" w:color="auto"/>
      </w:divBdr>
      <w:divsChild>
        <w:div w:id="441002033">
          <w:marLeft w:val="1166"/>
          <w:marRight w:val="0"/>
          <w:marTop w:val="0"/>
          <w:marBottom w:val="0"/>
          <w:divBdr>
            <w:top w:val="none" w:sz="0" w:space="0" w:color="auto"/>
            <w:left w:val="none" w:sz="0" w:space="0" w:color="auto"/>
            <w:bottom w:val="none" w:sz="0" w:space="0" w:color="auto"/>
            <w:right w:val="none" w:sz="0" w:space="0" w:color="auto"/>
          </w:divBdr>
        </w:div>
        <w:div w:id="702441845">
          <w:marLeft w:val="1166"/>
          <w:marRight w:val="0"/>
          <w:marTop w:val="0"/>
          <w:marBottom w:val="0"/>
          <w:divBdr>
            <w:top w:val="none" w:sz="0" w:space="0" w:color="auto"/>
            <w:left w:val="none" w:sz="0" w:space="0" w:color="auto"/>
            <w:bottom w:val="none" w:sz="0" w:space="0" w:color="auto"/>
            <w:right w:val="none" w:sz="0" w:space="0" w:color="auto"/>
          </w:divBdr>
        </w:div>
        <w:div w:id="1038581710">
          <w:marLeft w:val="1166"/>
          <w:marRight w:val="0"/>
          <w:marTop w:val="0"/>
          <w:marBottom w:val="0"/>
          <w:divBdr>
            <w:top w:val="none" w:sz="0" w:space="0" w:color="auto"/>
            <w:left w:val="none" w:sz="0" w:space="0" w:color="auto"/>
            <w:bottom w:val="none" w:sz="0" w:space="0" w:color="auto"/>
            <w:right w:val="none" w:sz="0" w:space="0" w:color="auto"/>
          </w:divBdr>
        </w:div>
        <w:div w:id="1230308497">
          <w:marLeft w:val="1166"/>
          <w:marRight w:val="0"/>
          <w:marTop w:val="0"/>
          <w:marBottom w:val="0"/>
          <w:divBdr>
            <w:top w:val="none" w:sz="0" w:space="0" w:color="auto"/>
            <w:left w:val="none" w:sz="0" w:space="0" w:color="auto"/>
            <w:bottom w:val="none" w:sz="0" w:space="0" w:color="auto"/>
            <w:right w:val="none" w:sz="0" w:space="0" w:color="auto"/>
          </w:divBdr>
        </w:div>
        <w:div w:id="2098555297">
          <w:marLeft w:val="547"/>
          <w:marRight w:val="0"/>
          <w:marTop w:val="0"/>
          <w:marBottom w:val="0"/>
          <w:divBdr>
            <w:top w:val="none" w:sz="0" w:space="0" w:color="auto"/>
            <w:left w:val="none" w:sz="0" w:space="0" w:color="auto"/>
            <w:bottom w:val="none" w:sz="0" w:space="0" w:color="auto"/>
            <w:right w:val="none" w:sz="0" w:space="0" w:color="auto"/>
          </w:divBdr>
        </w:div>
      </w:divsChild>
    </w:div>
    <w:div w:id="778329884">
      <w:bodyDiv w:val="1"/>
      <w:marLeft w:val="0"/>
      <w:marRight w:val="0"/>
      <w:marTop w:val="0"/>
      <w:marBottom w:val="0"/>
      <w:divBdr>
        <w:top w:val="none" w:sz="0" w:space="0" w:color="auto"/>
        <w:left w:val="none" w:sz="0" w:space="0" w:color="auto"/>
        <w:bottom w:val="none" w:sz="0" w:space="0" w:color="auto"/>
        <w:right w:val="none" w:sz="0" w:space="0" w:color="auto"/>
      </w:divBdr>
    </w:div>
    <w:div w:id="780222581">
      <w:bodyDiv w:val="1"/>
      <w:marLeft w:val="0"/>
      <w:marRight w:val="0"/>
      <w:marTop w:val="0"/>
      <w:marBottom w:val="0"/>
      <w:divBdr>
        <w:top w:val="none" w:sz="0" w:space="0" w:color="auto"/>
        <w:left w:val="none" w:sz="0" w:space="0" w:color="auto"/>
        <w:bottom w:val="none" w:sz="0" w:space="0" w:color="auto"/>
        <w:right w:val="none" w:sz="0" w:space="0" w:color="auto"/>
      </w:divBdr>
    </w:div>
    <w:div w:id="784495675">
      <w:bodyDiv w:val="1"/>
      <w:marLeft w:val="0"/>
      <w:marRight w:val="0"/>
      <w:marTop w:val="0"/>
      <w:marBottom w:val="0"/>
      <w:divBdr>
        <w:top w:val="none" w:sz="0" w:space="0" w:color="auto"/>
        <w:left w:val="none" w:sz="0" w:space="0" w:color="auto"/>
        <w:bottom w:val="none" w:sz="0" w:space="0" w:color="auto"/>
        <w:right w:val="none" w:sz="0" w:space="0" w:color="auto"/>
      </w:divBdr>
    </w:div>
    <w:div w:id="804658110">
      <w:bodyDiv w:val="1"/>
      <w:marLeft w:val="0"/>
      <w:marRight w:val="0"/>
      <w:marTop w:val="0"/>
      <w:marBottom w:val="0"/>
      <w:divBdr>
        <w:top w:val="none" w:sz="0" w:space="0" w:color="auto"/>
        <w:left w:val="none" w:sz="0" w:space="0" w:color="auto"/>
        <w:bottom w:val="none" w:sz="0" w:space="0" w:color="auto"/>
        <w:right w:val="none" w:sz="0" w:space="0" w:color="auto"/>
      </w:divBdr>
    </w:div>
    <w:div w:id="845677293">
      <w:bodyDiv w:val="1"/>
      <w:marLeft w:val="0"/>
      <w:marRight w:val="0"/>
      <w:marTop w:val="0"/>
      <w:marBottom w:val="0"/>
      <w:divBdr>
        <w:top w:val="none" w:sz="0" w:space="0" w:color="auto"/>
        <w:left w:val="none" w:sz="0" w:space="0" w:color="auto"/>
        <w:bottom w:val="none" w:sz="0" w:space="0" w:color="auto"/>
        <w:right w:val="none" w:sz="0" w:space="0" w:color="auto"/>
      </w:divBdr>
    </w:div>
    <w:div w:id="879591275">
      <w:bodyDiv w:val="1"/>
      <w:marLeft w:val="0"/>
      <w:marRight w:val="0"/>
      <w:marTop w:val="0"/>
      <w:marBottom w:val="0"/>
      <w:divBdr>
        <w:top w:val="none" w:sz="0" w:space="0" w:color="auto"/>
        <w:left w:val="none" w:sz="0" w:space="0" w:color="auto"/>
        <w:bottom w:val="none" w:sz="0" w:space="0" w:color="auto"/>
        <w:right w:val="none" w:sz="0" w:space="0" w:color="auto"/>
      </w:divBdr>
    </w:div>
    <w:div w:id="893085440">
      <w:bodyDiv w:val="1"/>
      <w:marLeft w:val="0"/>
      <w:marRight w:val="0"/>
      <w:marTop w:val="0"/>
      <w:marBottom w:val="0"/>
      <w:divBdr>
        <w:top w:val="none" w:sz="0" w:space="0" w:color="auto"/>
        <w:left w:val="none" w:sz="0" w:space="0" w:color="auto"/>
        <w:bottom w:val="none" w:sz="0" w:space="0" w:color="auto"/>
        <w:right w:val="none" w:sz="0" w:space="0" w:color="auto"/>
      </w:divBdr>
    </w:div>
    <w:div w:id="904800548">
      <w:bodyDiv w:val="1"/>
      <w:marLeft w:val="0"/>
      <w:marRight w:val="0"/>
      <w:marTop w:val="0"/>
      <w:marBottom w:val="0"/>
      <w:divBdr>
        <w:top w:val="none" w:sz="0" w:space="0" w:color="auto"/>
        <w:left w:val="none" w:sz="0" w:space="0" w:color="auto"/>
        <w:bottom w:val="none" w:sz="0" w:space="0" w:color="auto"/>
        <w:right w:val="none" w:sz="0" w:space="0" w:color="auto"/>
      </w:divBdr>
    </w:div>
    <w:div w:id="906038364">
      <w:bodyDiv w:val="1"/>
      <w:marLeft w:val="0"/>
      <w:marRight w:val="0"/>
      <w:marTop w:val="0"/>
      <w:marBottom w:val="0"/>
      <w:divBdr>
        <w:top w:val="none" w:sz="0" w:space="0" w:color="auto"/>
        <w:left w:val="none" w:sz="0" w:space="0" w:color="auto"/>
        <w:bottom w:val="none" w:sz="0" w:space="0" w:color="auto"/>
        <w:right w:val="none" w:sz="0" w:space="0" w:color="auto"/>
      </w:divBdr>
    </w:div>
    <w:div w:id="947347807">
      <w:bodyDiv w:val="1"/>
      <w:marLeft w:val="0"/>
      <w:marRight w:val="0"/>
      <w:marTop w:val="0"/>
      <w:marBottom w:val="0"/>
      <w:divBdr>
        <w:top w:val="none" w:sz="0" w:space="0" w:color="auto"/>
        <w:left w:val="none" w:sz="0" w:space="0" w:color="auto"/>
        <w:bottom w:val="none" w:sz="0" w:space="0" w:color="auto"/>
        <w:right w:val="none" w:sz="0" w:space="0" w:color="auto"/>
      </w:divBdr>
    </w:div>
    <w:div w:id="967395729">
      <w:bodyDiv w:val="1"/>
      <w:marLeft w:val="0"/>
      <w:marRight w:val="0"/>
      <w:marTop w:val="0"/>
      <w:marBottom w:val="0"/>
      <w:divBdr>
        <w:top w:val="none" w:sz="0" w:space="0" w:color="auto"/>
        <w:left w:val="none" w:sz="0" w:space="0" w:color="auto"/>
        <w:bottom w:val="none" w:sz="0" w:space="0" w:color="auto"/>
        <w:right w:val="none" w:sz="0" w:space="0" w:color="auto"/>
      </w:divBdr>
    </w:div>
    <w:div w:id="974260196">
      <w:bodyDiv w:val="1"/>
      <w:marLeft w:val="0"/>
      <w:marRight w:val="0"/>
      <w:marTop w:val="0"/>
      <w:marBottom w:val="0"/>
      <w:divBdr>
        <w:top w:val="none" w:sz="0" w:space="0" w:color="auto"/>
        <w:left w:val="none" w:sz="0" w:space="0" w:color="auto"/>
        <w:bottom w:val="none" w:sz="0" w:space="0" w:color="auto"/>
        <w:right w:val="none" w:sz="0" w:space="0" w:color="auto"/>
      </w:divBdr>
    </w:div>
    <w:div w:id="977995271">
      <w:bodyDiv w:val="1"/>
      <w:marLeft w:val="0"/>
      <w:marRight w:val="0"/>
      <w:marTop w:val="0"/>
      <w:marBottom w:val="0"/>
      <w:divBdr>
        <w:top w:val="none" w:sz="0" w:space="0" w:color="auto"/>
        <w:left w:val="none" w:sz="0" w:space="0" w:color="auto"/>
        <w:bottom w:val="none" w:sz="0" w:space="0" w:color="auto"/>
        <w:right w:val="none" w:sz="0" w:space="0" w:color="auto"/>
      </w:divBdr>
    </w:div>
    <w:div w:id="996808309">
      <w:bodyDiv w:val="1"/>
      <w:marLeft w:val="0"/>
      <w:marRight w:val="0"/>
      <w:marTop w:val="0"/>
      <w:marBottom w:val="0"/>
      <w:divBdr>
        <w:top w:val="none" w:sz="0" w:space="0" w:color="auto"/>
        <w:left w:val="none" w:sz="0" w:space="0" w:color="auto"/>
        <w:bottom w:val="none" w:sz="0" w:space="0" w:color="auto"/>
        <w:right w:val="none" w:sz="0" w:space="0" w:color="auto"/>
      </w:divBdr>
    </w:div>
    <w:div w:id="1000691212">
      <w:bodyDiv w:val="1"/>
      <w:marLeft w:val="0"/>
      <w:marRight w:val="0"/>
      <w:marTop w:val="0"/>
      <w:marBottom w:val="0"/>
      <w:divBdr>
        <w:top w:val="none" w:sz="0" w:space="0" w:color="auto"/>
        <w:left w:val="none" w:sz="0" w:space="0" w:color="auto"/>
        <w:bottom w:val="none" w:sz="0" w:space="0" w:color="auto"/>
        <w:right w:val="none" w:sz="0" w:space="0" w:color="auto"/>
      </w:divBdr>
    </w:div>
    <w:div w:id="1020664883">
      <w:bodyDiv w:val="1"/>
      <w:marLeft w:val="0"/>
      <w:marRight w:val="0"/>
      <w:marTop w:val="0"/>
      <w:marBottom w:val="0"/>
      <w:divBdr>
        <w:top w:val="none" w:sz="0" w:space="0" w:color="auto"/>
        <w:left w:val="none" w:sz="0" w:space="0" w:color="auto"/>
        <w:bottom w:val="none" w:sz="0" w:space="0" w:color="auto"/>
        <w:right w:val="none" w:sz="0" w:space="0" w:color="auto"/>
      </w:divBdr>
    </w:div>
    <w:div w:id="1023438482">
      <w:bodyDiv w:val="1"/>
      <w:marLeft w:val="0"/>
      <w:marRight w:val="0"/>
      <w:marTop w:val="0"/>
      <w:marBottom w:val="0"/>
      <w:divBdr>
        <w:top w:val="none" w:sz="0" w:space="0" w:color="auto"/>
        <w:left w:val="none" w:sz="0" w:space="0" w:color="auto"/>
        <w:bottom w:val="none" w:sz="0" w:space="0" w:color="auto"/>
        <w:right w:val="none" w:sz="0" w:space="0" w:color="auto"/>
      </w:divBdr>
    </w:div>
    <w:div w:id="1033922776">
      <w:bodyDiv w:val="1"/>
      <w:marLeft w:val="0"/>
      <w:marRight w:val="0"/>
      <w:marTop w:val="0"/>
      <w:marBottom w:val="0"/>
      <w:divBdr>
        <w:top w:val="none" w:sz="0" w:space="0" w:color="auto"/>
        <w:left w:val="none" w:sz="0" w:space="0" w:color="auto"/>
        <w:bottom w:val="none" w:sz="0" w:space="0" w:color="auto"/>
        <w:right w:val="none" w:sz="0" w:space="0" w:color="auto"/>
      </w:divBdr>
    </w:div>
    <w:div w:id="1036976388">
      <w:bodyDiv w:val="1"/>
      <w:marLeft w:val="0"/>
      <w:marRight w:val="0"/>
      <w:marTop w:val="0"/>
      <w:marBottom w:val="0"/>
      <w:divBdr>
        <w:top w:val="none" w:sz="0" w:space="0" w:color="auto"/>
        <w:left w:val="none" w:sz="0" w:space="0" w:color="auto"/>
        <w:bottom w:val="none" w:sz="0" w:space="0" w:color="auto"/>
        <w:right w:val="none" w:sz="0" w:space="0" w:color="auto"/>
      </w:divBdr>
    </w:div>
    <w:div w:id="1037898448">
      <w:bodyDiv w:val="1"/>
      <w:marLeft w:val="0"/>
      <w:marRight w:val="0"/>
      <w:marTop w:val="0"/>
      <w:marBottom w:val="0"/>
      <w:divBdr>
        <w:top w:val="none" w:sz="0" w:space="0" w:color="auto"/>
        <w:left w:val="none" w:sz="0" w:space="0" w:color="auto"/>
        <w:bottom w:val="none" w:sz="0" w:space="0" w:color="auto"/>
        <w:right w:val="none" w:sz="0" w:space="0" w:color="auto"/>
      </w:divBdr>
    </w:div>
    <w:div w:id="1051080957">
      <w:bodyDiv w:val="1"/>
      <w:marLeft w:val="0"/>
      <w:marRight w:val="0"/>
      <w:marTop w:val="0"/>
      <w:marBottom w:val="0"/>
      <w:divBdr>
        <w:top w:val="none" w:sz="0" w:space="0" w:color="auto"/>
        <w:left w:val="none" w:sz="0" w:space="0" w:color="auto"/>
        <w:bottom w:val="none" w:sz="0" w:space="0" w:color="auto"/>
        <w:right w:val="none" w:sz="0" w:space="0" w:color="auto"/>
      </w:divBdr>
    </w:div>
    <w:div w:id="1053043241">
      <w:bodyDiv w:val="1"/>
      <w:marLeft w:val="0"/>
      <w:marRight w:val="0"/>
      <w:marTop w:val="0"/>
      <w:marBottom w:val="0"/>
      <w:divBdr>
        <w:top w:val="none" w:sz="0" w:space="0" w:color="auto"/>
        <w:left w:val="none" w:sz="0" w:space="0" w:color="auto"/>
        <w:bottom w:val="none" w:sz="0" w:space="0" w:color="auto"/>
        <w:right w:val="none" w:sz="0" w:space="0" w:color="auto"/>
      </w:divBdr>
    </w:div>
    <w:div w:id="1077899070">
      <w:bodyDiv w:val="1"/>
      <w:marLeft w:val="0"/>
      <w:marRight w:val="0"/>
      <w:marTop w:val="0"/>
      <w:marBottom w:val="0"/>
      <w:divBdr>
        <w:top w:val="none" w:sz="0" w:space="0" w:color="auto"/>
        <w:left w:val="none" w:sz="0" w:space="0" w:color="auto"/>
        <w:bottom w:val="none" w:sz="0" w:space="0" w:color="auto"/>
        <w:right w:val="none" w:sz="0" w:space="0" w:color="auto"/>
      </w:divBdr>
    </w:div>
    <w:div w:id="1086072073">
      <w:bodyDiv w:val="1"/>
      <w:marLeft w:val="0"/>
      <w:marRight w:val="0"/>
      <w:marTop w:val="0"/>
      <w:marBottom w:val="0"/>
      <w:divBdr>
        <w:top w:val="none" w:sz="0" w:space="0" w:color="auto"/>
        <w:left w:val="none" w:sz="0" w:space="0" w:color="auto"/>
        <w:bottom w:val="none" w:sz="0" w:space="0" w:color="auto"/>
        <w:right w:val="none" w:sz="0" w:space="0" w:color="auto"/>
      </w:divBdr>
    </w:div>
    <w:div w:id="1089229382">
      <w:bodyDiv w:val="1"/>
      <w:marLeft w:val="0"/>
      <w:marRight w:val="0"/>
      <w:marTop w:val="0"/>
      <w:marBottom w:val="0"/>
      <w:divBdr>
        <w:top w:val="none" w:sz="0" w:space="0" w:color="auto"/>
        <w:left w:val="none" w:sz="0" w:space="0" w:color="auto"/>
        <w:bottom w:val="none" w:sz="0" w:space="0" w:color="auto"/>
        <w:right w:val="none" w:sz="0" w:space="0" w:color="auto"/>
      </w:divBdr>
    </w:div>
    <w:div w:id="1097750143">
      <w:bodyDiv w:val="1"/>
      <w:marLeft w:val="0"/>
      <w:marRight w:val="0"/>
      <w:marTop w:val="0"/>
      <w:marBottom w:val="0"/>
      <w:divBdr>
        <w:top w:val="none" w:sz="0" w:space="0" w:color="auto"/>
        <w:left w:val="none" w:sz="0" w:space="0" w:color="auto"/>
        <w:bottom w:val="none" w:sz="0" w:space="0" w:color="auto"/>
        <w:right w:val="none" w:sz="0" w:space="0" w:color="auto"/>
      </w:divBdr>
    </w:div>
    <w:div w:id="1123306072">
      <w:bodyDiv w:val="1"/>
      <w:marLeft w:val="0"/>
      <w:marRight w:val="0"/>
      <w:marTop w:val="0"/>
      <w:marBottom w:val="0"/>
      <w:divBdr>
        <w:top w:val="none" w:sz="0" w:space="0" w:color="auto"/>
        <w:left w:val="none" w:sz="0" w:space="0" w:color="auto"/>
        <w:bottom w:val="none" w:sz="0" w:space="0" w:color="auto"/>
        <w:right w:val="none" w:sz="0" w:space="0" w:color="auto"/>
      </w:divBdr>
    </w:div>
    <w:div w:id="1130242113">
      <w:bodyDiv w:val="1"/>
      <w:marLeft w:val="0"/>
      <w:marRight w:val="0"/>
      <w:marTop w:val="0"/>
      <w:marBottom w:val="0"/>
      <w:divBdr>
        <w:top w:val="none" w:sz="0" w:space="0" w:color="auto"/>
        <w:left w:val="none" w:sz="0" w:space="0" w:color="auto"/>
        <w:bottom w:val="none" w:sz="0" w:space="0" w:color="auto"/>
        <w:right w:val="none" w:sz="0" w:space="0" w:color="auto"/>
      </w:divBdr>
    </w:div>
    <w:div w:id="1132752407">
      <w:bodyDiv w:val="1"/>
      <w:marLeft w:val="0"/>
      <w:marRight w:val="0"/>
      <w:marTop w:val="0"/>
      <w:marBottom w:val="0"/>
      <w:divBdr>
        <w:top w:val="none" w:sz="0" w:space="0" w:color="auto"/>
        <w:left w:val="none" w:sz="0" w:space="0" w:color="auto"/>
        <w:bottom w:val="none" w:sz="0" w:space="0" w:color="auto"/>
        <w:right w:val="none" w:sz="0" w:space="0" w:color="auto"/>
      </w:divBdr>
    </w:div>
    <w:div w:id="1145127767">
      <w:bodyDiv w:val="1"/>
      <w:marLeft w:val="0"/>
      <w:marRight w:val="0"/>
      <w:marTop w:val="0"/>
      <w:marBottom w:val="0"/>
      <w:divBdr>
        <w:top w:val="none" w:sz="0" w:space="0" w:color="auto"/>
        <w:left w:val="none" w:sz="0" w:space="0" w:color="auto"/>
        <w:bottom w:val="none" w:sz="0" w:space="0" w:color="auto"/>
        <w:right w:val="none" w:sz="0" w:space="0" w:color="auto"/>
      </w:divBdr>
    </w:div>
    <w:div w:id="1162702573">
      <w:bodyDiv w:val="1"/>
      <w:marLeft w:val="0"/>
      <w:marRight w:val="0"/>
      <w:marTop w:val="0"/>
      <w:marBottom w:val="0"/>
      <w:divBdr>
        <w:top w:val="none" w:sz="0" w:space="0" w:color="auto"/>
        <w:left w:val="none" w:sz="0" w:space="0" w:color="auto"/>
        <w:bottom w:val="none" w:sz="0" w:space="0" w:color="auto"/>
        <w:right w:val="none" w:sz="0" w:space="0" w:color="auto"/>
      </w:divBdr>
    </w:div>
    <w:div w:id="1178617432">
      <w:bodyDiv w:val="1"/>
      <w:marLeft w:val="0"/>
      <w:marRight w:val="0"/>
      <w:marTop w:val="0"/>
      <w:marBottom w:val="0"/>
      <w:divBdr>
        <w:top w:val="none" w:sz="0" w:space="0" w:color="auto"/>
        <w:left w:val="none" w:sz="0" w:space="0" w:color="auto"/>
        <w:bottom w:val="none" w:sz="0" w:space="0" w:color="auto"/>
        <w:right w:val="none" w:sz="0" w:space="0" w:color="auto"/>
      </w:divBdr>
    </w:div>
    <w:div w:id="1179933392">
      <w:bodyDiv w:val="1"/>
      <w:marLeft w:val="0"/>
      <w:marRight w:val="0"/>
      <w:marTop w:val="0"/>
      <w:marBottom w:val="0"/>
      <w:divBdr>
        <w:top w:val="none" w:sz="0" w:space="0" w:color="auto"/>
        <w:left w:val="none" w:sz="0" w:space="0" w:color="auto"/>
        <w:bottom w:val="none" w:sz="0" w:space="0" w:color="auto"/>
        <w:right w:val="none" w:sz="0" w:space="0" w:color="auto"/>
      </w:divBdr>
    </w:div>
    <w:div w:id="1180655530">
      <w:bodyDiv w:val="1"/>
      <w:marLeft w:val="0"/>
      <w:marRight w:val="0"/>
      <w:marTop w:val="0"/>
      <w:marBottom w:val="0"/>
      <w:divBdr>
        <w:top w:val="none" w:sz="0" w:space="0" w:color="auto"/>
        <w:left w:val="none" w:sz="0" w:space="0" w:color="auto"/>
        <w:bottom w:val="none" w:sz="0" w:space="0" w:color="auto"/>
        <w:right w:val="none" w:sz="0" w:space="0" w:color="auto"/>
      </w:divBdr>
    </w:div>
    <w:div w:id="1185170592">
      <w:bodyDiv w:val="1"/>
      <w:marLeft w:val="0"/>
      <w:marRight w:val="0"/>
      <w:marTop w:val="0"/>
      <w:marBottom w:val="0"/>
      <w:divBdr>
        <w:top w:val="none" w:sz="0" w:space="0" w:color="auto"/>
        <w:left w:val="none" w:sz="0" w:space="0" w:color="auto"/>
        <w:bottom w:val="none" w:sz="0" w:space="0" w:color="auto"/>
        <w:right w:val="none" w:sz="0" w:space="0" w:color="auto"/>
      </w:divBdr>
    </w:div>
    <w:div w:id="1187213481">
      <w:bodyDiv w:val="1"/>
      <w:marLeft w:val="0"/>
      <w:marRight w:val="0"/>
      <w:marTop w:val="0"/>
      <w:marBottom w:val="0"/>
      <w:divBdr>
        <w:top w:val="none" w:sz="0" w:space="0" w:color="auto"/>
        <w:left w:val="none" w:sz="0" w:space="0" w:color="auto"/>
        <w:bottom w:val="none" w:sz="0" w:space="0" w:color="auto"/>
        <w:right w:val="none" w:sz="0" w:space="0" w:color="auto"/>
      </w:divBdr>
    </w:div>
    <w:div w:id="1194805379">
      <w:bodyDiv w:val="1"/>
      <w:marLeft w:val="0"/>
      <w:marRight w:val="0"/>
      <w:marTop w:val="0"/>
      <w:marBottom w:val="0"/>
      <w:divBdr>
        <w:top w:val="none" w:sz="0" w:space="0" w:color="auto"/>
        <w:left w:val="none" w:sz="0" w:space="0" w:color="auto"/>
        <w:bottom w:val="none" w:sz="0" w:space="0" w:color="auto"/>
        <w:right w:val="none" w:sz="0" w:space="0" w:color="auto"/>
      </w:divBdr>
    </w:div>
    <w:div w:id="1204053041">
      <w:bodyDiv w:val="1"/>
      <w:marLeft w:val="0"/>
      <w:marRight w:val="0"/>
      <w:marTop w:val="0"/>
      <w:marBottom w:val="0"/>
      <w:divBdr>
        <w:top w:val="none" w:sz="0" w:space="0" w:color="auto"/>
        <w:left w:val="none" w:sz="0" w:space="0" w:color="auto"/>
        <w:bottom w:val="none" w:sz="0" w:space="0" w:color="auto"/>
        <w:right w:val="none" w:sz="0" w:space="0" w:color="auto"/>
      </w:divBdr>
    </w:div>
    <w:div w:id="1227301280">
      <w:bodyDiv w:val="1"/>
      <w:marLeft w:val="0"/>
      <w:marRight w:val="0"/>
      <w:marTop w:val="0"/>
      <w:marBottom w:val="0"/>
      <w:divBdr>
        <w:top w:val="none" w:sz="0" w:space="0" w:color="auto"/>
        <w:left w:val="none" w:sz="0" w:space="0" w:color="auto"/>
        <w:bottom w:val="none" w:sz="0" w:space="0" w:color="auto"/>
        <w:right w:val="none" w:sz="0" w:space="0" w:color="auto"/>
      </w:divBdr>
    </w:div>
    <w:div w:id="1237738333">
      <w:bodyDiv w:val="1"/>
      <w:marLeft w:val="0"/>
      <w:marRight w:val="0"/>
      <w:marTop w:val="0"/>
      <w:marBottom w:val="0"/>
      <w:divBdr>
        <w:top w:val="none" w:sz="0" w:space="0" w:color="auto"/>
        <w:left w:val="none" w:sz="0" w:space="0" w:color="auto"/>
        <w:bottom w:val="none" w:sz="0" w:space="0" w:color="auto"/>
        <w:right w:val="none" w:sz="0" w:space="0" w:color="auto"/>
      </w:divBdr>
    </w:div>
    <w:div w:id="1265961731">
      <w:bodyDiv w:val="1"/>
      <w:marLeft w:val="0"/>
      <w:marRight w:val="0"/>
      <w:marTop w:val="0"/>
      <w:marBottom w:val="0"/>
      <w:divBdr>
        <w:top w:val="none" w:sz="0" w:space="0" w:color="auto"/>
        <w:left w:val="none" w:sz="0" w:space="0" w:color="auto"/>
        <w:bottom w:val="none" w:sz="0" w:space="0" w:color="auto"/>
        <w:right w:val="none" w:sz="0" w:space="0" w:color="auto"/>
      </w:divBdr>
    </w:div>
    <w:div w:id="1266306154">
      <w:bodyDiv w:val="1"/>
      <w:marLeft w:val="0"/>
      <w:marRight w:val="0"/>
      <w:marTop w:val="0"/>
      <w:marBottom w:val="0"/>
      <w:divBdr>
        <w:top w:val="none" w:sz="0" w:space="0" w:color="auto"/>
        <w:left w:val="none" w:sz="0" w:space="0" w:color="auto"/>
        <w:bottom w:val="none" w:sz="0" w:space="0" w:color="auto"/>
        <w:right w:val="none" w:sz="0" w:space="0" w:color="auto"/>
      </w:divBdr>
    </w:div>
    <w:div w:id="1267351617">
      <w:bodyDiv w:val="1"/>
      <w:marLeft w:val="0"/>
      <w:marRight w:val="0"/>
      <w:marTop w:val="0"/>
      <w:marBottom w:val="0"/>
      <w:divBdr>
        <w:top w:val="none" w:sz="0" w:space="0" w:color="auto"/>
        <w:left w:val="none" w:sz="0" w:space="0" w:color="auto"/>
        <w:bottom w:val="none" w:sz="0" w:space="0" w:color="auto"/>
        <w:right w:val="none" w:sz="0" w:space="0" w:color="auto"/>
      </w:divBdr>
    </w:div>
    <w:div w:id="1302153960">
      <w:bodyDiv w:val="1"/>
      <w:marLeft w:val="0"/>
      <w:marRight w:val="0"/>
      <w:marTop w:val="0"/>
      <w:marBottom w:val="0"/>
      <w:divBdr>
        <w:top w:val="none" w:sz="0" w:space="0" w:color="auto"/>
        <w:left w:val="none" w:sz="0" w:space="0" w:color="auto"/>
        <w:bottom w:val="none" w:sz="0" w:space="0" w:color="auto"/>
        <w:right w:val="none" w:sz="0" w:space="0" w:color="auto"/>
      </w:divBdr>
    </w:div>
    <w:div w:id="1311519407">
      <w:bodyDiv w:val="1"/>
      <w:marLeft w:val="0"/>
      <w:marRight w:val="0"/>
      <w:marTop w:val="0"/>
      <w:marBottom w:val="0"/>
      <w:divBdr>
        <w:top w:val="none" w:sz="0" w:space="0" w:color="auto"/>
        <w:left w:val="none" w:sz="0" w:space="0" w:color="auto"/>
        <w:bottom w:val="none" w:sz="0" w:space="0" w:color="auto"/>
        <w:right w:val="none" w:sz="0" w:space="0" w:color="auto"/>
      </w:divBdr>
    </w:div>
    <w:div w:id="1349479001">
      <w:bodyDiv w:val="1"/>
      <w:marLeft w:val="0"/>
      <w:marRight w:val="0"/>
      <w:marTop w:val="0"/>
      <w:marBottom w:val="0"/>
      <w:divBdr>
        <w:top w:val="none" w:sz="0" w:space="0" w:color="auto"/>
        <w:left w:val="none" w:sz="0" w:space="0" w:color="auto"/>
        <w:bottom w:val="none" w:sz="0" w:space="0" w:color="auto"/>
        <w:right w:val="none" w:sz="0" w:space="0" w:color="auto"/>
      </w:divBdr>
    </w:div>
    <w:div w:id="1369797031">
      <w:bodyDiv w:val="1"/>
      <w:marLeft w:val="0"/>
      <w:marRight w:val="0"/>
      <w:marTop w:val="0"/>
      <w:marBottom w:val="0"/>
      <w:divBdr>
        <w:top w:val="none" w:sz="0" w:space="0" w:color="auto"/>
        <w:left w:val="none" w:sz="0" w:space="0" w:color="auto"/>
        <w:bottom w:val="none" w:sz="0" w:space="0" w:color="auto"/>
        <w:right w:val="none" w:sz="0" w:space="0" w:color="auto"/>
      </w:divBdr>
    </w:div>
    <w:div w:id="1398943281">
      <w:bodyDiv w:val="1"/>
      <w:marLeft w:val="0"/>
      <w:marRight w:val="0"/>
      <w:marTop w:val="0"/>
      <w:marBottom w:val="0"/>
      <w:divBdr>
        <w:top w:val="none" w:sz="0" w:space="0" w:color="auto"/>
        <w:left w:val="none" w:sz="0" w:space="0" w:color="auto"/>
        <w:bottom w:val="none" w:sz="0" w:space="0" w:color="auto"/>
        <w:right w:val="none" w:sz="0" w:space="0" w:color="auto"/>
      </w:divBdr>
    </w:div>
    <w:div w:id="1405225738">
      <w:bodyDiv w:val="1"/>
      <w:marLeft w:val="0"/>
      <w:marRight w:val="0"/>
      <w:marTop w:val="0"/>
      <w:marBottom w:val="0"/>
      <w:divBdr>
        <w:top w:val="none" w:sz="0" w:space="0" w:color="auto"/>
        <w:left w:val="none" w:sz="0" w:space="0" w:color="auto"/>
        <w:bottom w:val="none" w:sz="0" w:space="0" w:color="auto"/>
        <w:right w:val="none" w:sz="0" w:space="0" w:color="auto"/>
      </w:divBdr>
    </w:div>
    <w:div w:id="1407532195">
      <w:bodyDiv w:val="1"/>
      <w:marLeft w:val="0"/>
      <w:marRight w:val="0"/>
      <w:marTop w:val="0"/>
      <w:marBottom w:val="0"/>
      <w:divBdr>
        <w:top w:val="none" w:sz="0" w:space="0" w:color="auto"/>
        <w:left w:val="none" w:sz="0" w:space="0" w:color="auto"/>
        <w:bottom w:val="none" w:sz="0" w:space="0" w:color="auto"/>
        <w:right w:val="none" w:sz="0" w:space="0" w:color="auto"/>
      </w:divBdr>
    </w:div>
    <w:div w:id="1421607877">
      <w:bodyDiv w:val="1"/>
      <w:marLeft w:val="0"/>
      <w:marRight w:val="0"/>
      <w:marTop w:val="0"/>
      <w:marBottom w:val="0"/>
      <w:divBdr>
        <w:top w:val="none" w:sz="0" w:space="0" w:color="auto"/>
        <w:left w:val="none" w:sz="0" w:space="0" w:color="auto"/>
        <w:bottom w:val="none" w:sz="0" w:space="0" w:color="auto"/>
        <w:right w:val="none" w:sz="0" w:space="0" w:color="auto"/>
      </w:divBdr>
      <w:divsChild>
        <w:div w:id="355736382">
          <w:marLeft w:val="547"/>
          <w:marRight w:val="0"/>
          <w:marTop w:val="0"/>
          <w:marBottom w:val="0"/>
          <w:divBdr>
            <w:top w:val="none" w:sz="0" w:space="0" w:color="auto"/>
            <w:left w:val="none" w:sz="0" w:space="0" w:color="auto"/>
            <w:bottom w:val="none" w:sz="0" w:space="0" w:color="auto"/>
            <w:right w:val="none" w:sz="0" w:space="0" w:color="auto"/>
          </w:divBdr>
        </w:div>
        <w:div w:id="472328737">
          <w:marLeft w:val="1166"/>
          <w:marRight w:val="0"/>
          <w:marTop w:val="0"/>
          <w:marBottom w:val="0"/>
          <w:divBdr>
            <w:top w:val="none" w:sz="0" w:space="0" w:color="auto"/>
            <w:left w:val="none" w:sz="0" w:space="0" w:color="auto"/>
            <w:bottom w:val="none" w:sz="0" w:space="0" w:color="auto"/>
            <w:right w:val="none" w:sz="0" w:space="0" w:color="auto"/>
          </w:divBdr>
        </w:div>
        <w:div w:id="577324617">
          <w:marLeft w:val="1166"/>
          <w:marRight w:val="0"/>
          <w:marTop w:val="0"/>
          <w:marBottom w:val="0"/>
          <w:divBdr>
            <w:top w:val="none" w:sz="0" w:space="0" w:color="auto"/>
            <w:left w:val="none" w:sz="0" w:space="0" w:color="auto"/>
            <w:bottom w:val="none" w:sz="0" w:space="0" w:color="auto"/>
            <w:right w:val="none" w:sz="0" w:space="0" w:color="auto"/>
          </w:divBdr>
        </w:div>
        <w:div w:id="1311639721">
          <w:marLeft w:val="1166"/>
          <w:marRight w:val="0"/>
          <w:marTop w:val="0"/>
          <w:marBottom w:val="0"/>
          <w:divBdr>
            <w:top w:val="none" w:sz="0" w:space="0" w:color="auto"/>
            <w:left w:val="none" w:sz="0" w:space="0" w:color="auto"/>
            <w:bottom w:val="none" w:sz="0" w:space="0" w:color="auto"/>
            <w:right w:val="none" w:sz="0" w:space="0" w:color="auto"/>
          </w:divBdr>
        </w:div>
      </w:divsChild>
    </w:div>
    <w:div w:id="1434010869">
      <w:bodyDiv w:val="1"/>
      <w:marLeft w:val="0"/>
      <w:marRight w:val="0"/>
      <w:marTop w:val="0"/>
      <w:marBottom w:val="0"/>
      <w:divBdr>
        <w:top w:val="none" w:sz="0" w:space="0" w:color="auto"/>
        <w:left w:val="none" w:sz="0" w:space="0" w:color="auto"/>
        <w:bottom w:val="none" w:sz="0" w:space="0" w:color="auto"/>
        <w:right w:val="none" w:sz="0" w:space="0" w:color="auto"/>
      </w:divBdr>
      <w:divsChild>
        <w:div w:id="421150307">
          <w:marLeft w:val="547"/>
          <w:marRight w:val="0"/>
          <w:marTop w:val="0"/>
          <w:marBottom w:val="0"/>
          <w:divBdr>
            <w:top w:val="none" w:sz="0" w:space="0" w:color="auto"/>
            <w:left w:val="none" w:sz="0" w:space="0" w:color="auto"/>
            <w:bottom w:val="none" w:sz="0" w:space="0" w:color="auto"/>
            <w:right w:val="none" w:sz="0" w:space="0" w:color="auto"/>
          </w:divBdr>
        </w:div>
        <w:div w:id="433787117">
          <w:marLeft w:val="1166"/>
          <w:marRight w:val="0"/>
          <w:marTop w:val="0"/>
          <w:marBottom w:val="0"/>
          <w:divBdr>
            <w:top w:val="none" w:sz="0" w:space="0" w:color="auto"/>
            <w:left w:val="none" w:sz="0" w:space="0" w:color="auto"/>
            <w:bottom w:val="none" w:sz="0" w:space="0" w:color="auto"/>
            <w:right w:val="none" w:sz="0" w:space="0" w:color="auto"/>
          </w:divBdr>
        </w:div>
        <w:div w:id="1608271792">
          <w:marLeft w:val="1166"/>
          <w:marRight w:val="0"/>
          <w:marTop w:val="0"/>
          <w:marBottom w:val="0"/>
          <w:divBdr>
            <w:top w:val="none" w:sz="0" w:space="0" w:color="auto"/>
            <w:left w:val="none" w:sz="0" w:space="0" w:color="auto"/>
            <w:bottom w:val="none" w:sz="0" w:space="0" w:color="auto"/>
            <w:right w:val="none" w:sz="0" w:space="0" w:color="auto"/>
          </w:divBdr>
        </w:div>
      </w:divsChild>
    </w:div>
    <w:div w:id="1434475333">
      <w:bodyDiv w:val="1"/>
      <w:marLeft w:val="0"/>
      <w:marRight w:val="0"/>
      <w:marTop w:val="0"/>
      <w:marBottom w:val="0"/>
      <w:divBdr>
        <w:top w:val="none" w:sz="0" w:space="0" w:color="auto"/>
        <w:left w:val="none" w:sz="0" w:space="0" w:color="auto"/>
        <w:bottom w:val="none" w:sz="0" w:space="0" w:color="auto"/>
        <w:right w:val="none" w:sz="0" w:space="0" w:color="auto"/>
      </w:divBdr>
    </w:div>
    <w:div w:id="1445343329">
      <w:bodyDiv w:val="1"/>
      <w:marLeft w:val="0"/>
      <w:marRight w:val="0"/>
      <w:marTop w:val="0"/>
      <w:marBottom w:val="0"/>
      <w:divBdr>
        <w:top w:val="none" w:sz="0" w:space="0" w:color="auto"/>
        <w:left w:val="none" w:sz="0" w:space="0" w:color="auto"/>
        <w:bottom w:val="none" w:sz="0" w:space="0" w:color="auto"/>
        <w:right w:val="none" w:sz="0" w:space="0" w:color="auto"/>
      </w:divBdr>
    </w:div>
    <w:div w:id="1452432104">
      <w:bodyDiv w:val="1"/>
      <w:marLeft w:val="0"/>
      <w:marRight w:val="0"/>
      <w:marTop w:val="0"/>
      <w:marBottom w:val="0"/>
      <w:divBdr>
        <w:top w:val="none" w:sz="0" w:space="0" w:color="auto"/>
        <w:left w:val="none" w:sz="0" w:space="0" w:color="auto"/>
        <w:bottom w:val="none" w:sz="0" w:space="0" w:color="auto"/>
        <w:right w:val="none" w:sz="0" w:space="0" w:color="auto"/>
      </w:divBdr>
    </w:div>
    <w:div w:id="1452626732">
      <w:bodyDiv w:val="1"/>
      <w:marLeft w:val="0"/>
      <w:marRight w:val="0"/>
      <w:marTop w:val="0"/>
      <w:marBottom w:val="0"/>
      <w:divBdr>
        <w:top w:val="none" w:sz="0" w:space="0" w:color="auto"/>
        <w:left w:val="none" w:sz="0" w:space="0" w:color="auto"/>
        <w:bottom w:val="none" w:sz="0" w:space="0" w:color="auto"/>
        <w:right w:val="none" w:sz="0" w:space="0" w:color="auto"/>
      </w:divBdr>
    </w:div>
    <w:div w:id="1466964653">
      <w:bodyDiv w:val="1"/>
      <w:marLeft w:val="0"/>
      <w:marRight w:val="0"/>
      <w:marTop w:val="0"/>
      <w:marBottom w:val="0"/>
      <w:divBdr>
        <w:top w:val="none" w:sz="0" w:space="0" w:color="auto"/>
        <w:left w:val="none" w:sz="0" w:space="0" w:color="auto"/>
        <w:bottom w:val="none" w:sz="0" w:space="0" w:color="auto"/>
        <w:right w:val="none" w:sz="0" w:space="0" w:color="auto"/>
      </w:divBdr>
    </w:div>
    <w:div w:id="1483473307">
      <w:bodyDiv w:val="1"/>
      <w:marLeft w:val="0"/>
      <w:marRight w:val="0"/>
      <w:marTop w:val="0"/>
      <w:marBottom w:val="0"/>
      <w:divBdr>
        <w:top w:val="none" w:sz="0" w:space="0" w:color="auto"/>
        <w:left w:val="none" w:sz="0" w:space="0" w:color="auto"/>
        <w:bottom w:val="none" w:sz="0" w:space="0" w:color="auto"/>
        <w:right w:val="none" w:sz="0" w:space="0" w:color="auto"/>
      </w:divBdr>
    </w:div>
    <w:div w:id="1506245090">
      <w:bodyDiv w:val="1"/>
      <w:marLeft w:val="0"/>
      <w:marRight w:val="0"/>
      <w:marTop w:val="0"/>
      <w:marBottom w:val="0"/>
      <w:divBdr>
        <w:top w:val="none" w:sz="0" w:space="0" w:color="auto"/>
        <w:left w:val="none" w:sz="0" w:space="0" w:color="auto"/>
        <w:bottom w:val="none" w:sz="0" w:space="0" w:color="auto"/>
        <w:right w:val="none" w:sz="0" w:space="0" w:color="auto"/>
      </w:divBdr>
    </w:div>
    <w:div w:id="1517960737">
      <w:bodyDiv w:val="1"/>
      <w:marLeft w:val="0"/>
      <w:marRight w:val="0"/>
      <w:marTop w:val="0"/>
      <w:marBottom w:val="0"/>
      <w:divBdr>
        <w:top w:val="none" w:sz="0" w:space="0" w:color="auto"/>
        <w:left w:val="none" w:sz="0" w:space="0" w:color="auto"/>
        <w:bottom w:val="none" w:sz="0" w:space="0" w:color="auto"/>
        <w:right w:val="none" w:sz="0" w:space="0" w:color="auto"/>
      </w:divBdr>
    </w:div>
    <w:div w:id="1518618321">
      <w:bodyDiv w:val="1"/>
      <w:marLeft w:val="0"/>
      <w:marRight w:val="0"/>
      <w:marTop w:val="0"/>
      <w:marBottom w:val="0"/>
      <w:divBdr>
        <w:top w:val="none" w:sz="0" w:space="0" w:color="auto"/>
        <w:left w:val="none" w:sz="0" w:space="0" w:color="auto"/>
        <w:bottom w:val="none" w:sz="0" w:space="0" w:color="auto"/>
        <w:right w:val="none" w:sz="0" w:space="0" w:color="auto"/>
      </w:divBdr>
    </w:div>
    <w:div w:id="1518889603">
      <w:bodyDiv w:val="1"/>
      <w:marLeft w:val="0"/>
      <w:marRight w:val="0"/>
      <w:marTop w:val="0"/>
      <w:marBottom w:val="0"/>
      <w:divBdr>
        <w:top w:val="none" w:sz="0" w:space="0" w:color="auto"/>
        <w:left w:val="none" w:sz="0" w:space="0" w:color="auto"/>
        <w:bottom w:val="none" w:sz="0" w:space="0" w:color="auto"/>
        <w:right w:val="none" w:sz="0" w:space="0" w:color="auto"/>
      </w:divBdr>
    </w:div>
    <w:div w:id="1521429353">
      <w:bodyDiv w:val="1"/>
      <w:marLeft w:val="0"/>
      <w:marRight w:val="0"/>
      <w:marTop w:val="0"/>
      <w:marBottom w:val="0"/>
      <w:divBdr>
        <w:top w:val="none" w:sz="0" w:space="0" w:color="auto"/>
        <w:left w:val="none" w:sz="0" w:space="0" w:color="auto"/>
        <w:bottom w:val="none" w:sz="0" w:space="0" w:color="auto"/>
        <w:right w:val="none" w:sz="0" w:space="0" w:color="auto"/>
      </w:divBdr>
    </w:div>
    <w:div w:id="1525629548">
      <w:bodyDiv w:val="1"/>
      <w:marLeft w:val="0"/>
      <w:marRight w:val="0"/>
      <w:marTop w:val="0"/>
      <w:marBottom w:val="0"/>
      <w:divBdr>
        <w:top w:val="none" w:sz="0" w:space="0" w:color="auto"/>
        <w:left w:val="none" w:sz="0" w:space="0" w:color="auto"/>
        <w:bottom w:val="none" w:sz="0" w:space="0" w:color="auto"/>
        <w:right w:val="none" w:sz="0" w:space="0" w:color="auto"/>
      </w:divBdr>
    </w:div>
    <w:div w:id="1544512749">
      <w:bodyDiv w:val="1"/>
      <w:marLeft w:val="0"/>
      <w:marRight w:val="0"/>
      <w:marTop w:val="0"/>
      <w:marBottom w:val="0"/>
      <w:divBdr>
        <w:top w:val="none" w:sz="0" w:space="0" w:color="auto"/>
        <w:left w:val="none" w:sz="0" w:space="0" w:color="auto"/>
        <w:bottom w:val="none" w:sz="0" w:space="0" w:color="auto"/>
        <w:right w:val="none" w:sz="0" w:space="0" w:color="auto"/>
      </w:divBdr>
    </w:div>
    <w:div w:id="1550189051">
      <w:bodyDiv w:val="1"/>
      <w:marLeft w:val="0"/>
      <w:marRight w:val="0"/>
      <w:marTop w:val="0"/>
      <w:marBottom w:val="0"/>
      <w:divBdr>
        <w:top w:val="none" w:sz="0" w:space="0" w:color="auto"/>
        <w:left w:val="none" w:sz="0" w:space="0" w:color="auto"/>
        <w:bottom w:val="none" w:sz="0" w:space="0" w:color="auto"/>
        <w:right w:val="none" w:sz="0" w:space="0" w:color="auto"/>
      </w:divBdr>
      <w:divsChild>
        <w:div w:id="68776234">
          <w:marLeft w:val="806"/>
          <w:marRight w:val="0"/>
          <w:marTop w:val="180"/>
          <w:marBottom w:val="0"/>
          <w:divBdr>
            <w:top w:val="none" w:sz="0" w:space="0" w:color="auto"/>
            <w:left w:val="none" w:sz="0" w:space="0" w:color="auto"/>
            <w:bottom w:val="none" w:sz="0" w:space="0" w:color="auto"/>
            <w:right w:val="none" w:sz="0" w:space="0" w:color="auto"/>
          </w:divBdr>
        </w:div>
        <w:div w:id="261770167">
          <w:marLeft w:val="806"/>
          <w:marRight w:val="0"/>
          <w:marTop w:val="180"/>
          <w:marBottom w:val="0"/>
          <w:divBdr>
            <w:top w:val="none" w:sz="0" w:space="0" w:color="auto"/>
            <w:left w:val="none" w:sz="0" w:space="0" w:color="auto"/>
            <w:bottom w:val="none" w:sz="0" w:space="0" w:color="auto"/>
            <w:right w:val="none" w:sz="0" w:space="0" w:color="auto"/>
          </w:divBdr>
        </w:div>
        <w:div w:id="343556560">
          <w:marLeft w:val="806"/>
          <w:marRight w:val="0"/>
          <w:marTop w:val="180"/>
          <w:marBottom w:val="0"/>
          <w:divBdr>
            <w:top w:val="none" w:sz="0" w:space="0" w:color="auto"/>
            <w:left w:val="none" w:sz="0" w:space="0" w:color="auto"/>
            <w:bottom w:val="none" w:sz="0" w:space="0" w:color="auto"/>
            <w:right w:val="none" w:sz="0" w:space="0" w:color="auto"/>
          </w:divBdr>
        </w:div>
        <w:div w:id="899828345">
          <w:marLeft w:val="806"/>
          <w:marRight w:val="0"/>
          <w:marTop w:val="180"/>
          <w:marBottom w:val="0"/>
          <w:divBdr>
            <w:top w:val="none" w:sz="0" w:space="0" w:color="auto"/>
            <w:left w:val="none" w:sz="0" w:space="0" w:color="auto"/>
            <w:bottom w:val="none" w:sz="0" w:space="0" w:color="auto"/>
            <w:right w:val="none" w:sz="0" w:space="0" w:color="auto"/>
          </w:divBdr>
        </w:div>
      </w:divsChild>
    </w:div>
    <w:div w:id="1554848367">
      <w:bodyDiv w:val="1"/>
      <w:marLeft w:val="0"/>
      <w:marRight w:val="0"/>
      <w:marTop w:val="0"/>
      <w:marBottom w:val="0"/>
      <w:divBdr>
        <w:top w:val="none" w:sz="0" w:space="0" w:color="auto"/>
        <w:left w:val="none" w:sz="0" w:space="0" w:color="auto"/>
        <w:bottom w:val="none" w:sz="0" w:space="0" w:color="auto"/>
        <w:right w:val="none" w:sz="0" w:space="0" w:color="auto"/>
      </w:divBdr>
    </w:div>
    <w:div w:id="1564293366">
      <w:bodyDiv w:val="1"/>
      <w:marLeft w:val="0"/>
      <w:marRight w:val="0"/>
      <w:marTop w:val="0"/>
      <w:marBottom w:val="0"/>
      <w:divBdr>
        <w:top w:val="none" w:sz="0" w:space="0" w:color="auto"/>
        <w:left w:val="none" w:sz="0" w:space="0" w:color="auto"/>
        <w:bottom w:val="none" w:sz="0" w:space="0" w:color="auto"/>
        <w:right w:val="none" w:sz="0" w:space="0" w:color="auto"/>
      </w:divBdr>
    </w:div>
    <w:div w:id="1575551422">
      <w:bodyDiv w:val="1"/>
      <w:marLeft w:val="0"/>
      <w:marRight w:val="0"/>
      <w:marTop w:val="0"/>
      <w:marBottom w:val="0"/>
      <w:divBdr>
        <w:top w:val="none" w:sz="0" w:space="0" w:color="auto"/>
        <w:left w:val="none" w:sz="0" w:space="0" w:color="auto"/>
        <w:bottom w:val="none" w:sz="0" w:space="0" w:color="auto"/>
        <w:right w:val="none" w:sz="0" w:space="0" w:color="auto"/>
      </w:divBdr>
    </w:div>
    <w:div w:id="1581328805">
      <w:bodyDiv w:val="1"/>
      <w:marLeft w:val="0"/>
      <w:marRight w:val="0"/>
      <w:marTop w:val="0"/>
      <w:marBottom w:val="0"/>
      <w:divBdr>
        <w:top w:val="none" w:sz="0" w:space="0" w:color="auto"/>
        <w:left w:val="none" w:sz="0" w:space="0" w:color="auto"/>
        <w:bottom w:val="none" w:sz="0" w:space="0" w:color="auto"/>
        <w:right w:val="none" w:sz="0" w:space="0" w:color="auto"/>
      </w:divBdr>
    </w:div>
    <w:div w:id="1601766036">
      <w:bodyDiv w:val="1"/>
      <w:marLeft w:val="0"/>
      <w:marRight w:val="0"/>
      <w:marTop w:val="0"/>
      <w:marBottom w:val="0"/>
      <w:divBdr>
        <w:top w:val="none" w:sz="0" w:space="0" w:color="auto"/>
        <w:left w:val="none" w:sz="0" w:space="0" w:color="auto"/>
        <w:bottom w:val="none" w:sz="0" w:space="0" w:color="auto"/>
        <w:right w:val="none" w:sz="0" w:space="0" w:color="auto"/>
      </w:divBdr>
    </w:div>
    <w:div w:id="1603877863">
      <w:bodyDiv w:val="1"/>
      <w:marLeft w:val="0"/>
      <w:marRight w:val="0"/>
      <w:marTop w:val="0"/>
      <w:marBottom w:val="0"/>
      <w:divBdr>
        <w:top w:val="none" w:sz="0" w:space="0" w:color="auto"/>
        <w:left w:val="none" w:sz="0" w:space="0" w:color="auto"/>
        <w:bottom w:val="none" w:sz="0" w:space="0" w:color="auto"/>
        <w:right w:val="none" w:sz="0" w:space="0" w:color="auto"/>
      </w:divBdr>
    </w:div>
    <w:div w:id="1614357694">
      <w:bodyDiv w:val="1"/>
      <w:marLeft w:val="0"/>
      <w:marRight w:val="0"/>
      <w:marTop w:val="0"/>
      <w:marBottom w:val="0"/>
      <w:divBdr>
        <w:top w:val="none" w:sz="0" w:space="0" w:color="auto"/>
        <w:left w:val="none" w:sz="0" w:space="0" w:color="auto"/>
        <w:bottom w:val="none" w:sz="0" w:space="0" w:color="auto"/>
        <w:right w:val="none" w:sz="0" w:space="0" w:color="auto"/>
      </w:divBdr>
    </w:div>
    <w:div w:id="1622343983">
      <w:bodyDiv w:val="1"/>
      <w:marLeft w:val="0"/>
      <w:marRight w:val="0"/>
      <w:marTop w:val="0"/>
      <w:marBottom w:val="0"/>
      <w:divBdr>
        <w:top w:val="none" w:sz="0" w:space="0" w:color="auto"/>
        <w:left w:val="none" w:sz="0" w:space="0" w:color="auto"/>
        <w:bottom w:val="none" w:sz="0" w:space="0" w:color="auto"/>
        <w:right w:val="none" w:sz="0" w:space="0" w:color="auto"/>
      </w:divBdr>
    </w:div>
    <w:div w:id="1633636434">
      <w:bodyDiv w:val="1"/>
      <w:marLeft w:val="0"/>
      <w:marRight w:val="0"/>
      <w:marTop w:val="0"/>
      <w:marBottom w:val="0"/>
      <w:divBdr>
        <w:top w:val="none" w:sz="0" w:space="0" w:color="auto"/>
        <w:left w:val="none" w:sz="0" w:space="0" w:color="auto"/>
        <w:bottom w:val="none" w:sz="0" w:space="0" w:color="auto"/>
        <w:right w:val="none" w:sz="0" w:space="0" w:color="auto"/>
      </w:divBdr>
    </w:div>
    <w:div w:id="1637835499">
      <w:bodyDiv w:val="1"/>
      <w:marLeft w:val="0"/>
      <w:marRight w:val="0"/>
      <w:marTop w:val="0"/>
      <w:marBottom w:val="0"/>
      <w:divBdr>
        <w:top w:val="none" w:sz="0" w:space="0" w:color="auto"/>
        <w:left w:val="none" w:sz="0" w:space="0" w:color="auto"/>
        <w:bottom w:val="none" w:sz="0" w:space="0" w:color="auto"/>
        <w:right w:val="none" w:sz="0" w:space="0" w:color="auto"/>
      </w:divBdr>
    </w:div>
    <w:div w:id="1644457206">
      <w:bodyDiv w:val="1"/>
      <w:marLeft w:val="0"/>
      <w:marRight w:val="0"/>
      <w:marTop w:val="0"/>
      <w:marBottom w:val="0"/>
      <w:divBdr>
        <w:top w:val="none" w:sz="0" w:space="0" w:color="auto"/>
        <w:left w:val="none" w:sz="0" w:space="0" w:color="auto"/>
        <w:bottom w:val="none" w:sz="0" w:space="0" w:color="auto"/>
        <w:right w:val="none" w:sz="0" w:space="0" w:color="auto"/>
      </w:divBdr>
    </w:div>
    <w:div w:id="1668245668">
      <w:bodyDiv w:val="1"/>
      <w:marLeft w:val="0"/>
      <w:marRight w:val="0"/>
      <w:marTop w:val="0"/>
      <w:marBottom w:val="0"/>
      <w:divBdr>
        <w:top w:val="none" w:sz="0" w:space="0" w:color="auto"/>
        <w:left w:val="none" w:sz="0" w:space="0" w:color="auto"/>
        <w:bottom w:val="none" w:sz="0" w:space="0" w:color="auto"/>
        <w:right w:val="none" w:sz="0" w:space="0" w:color="auto"/>
      </w:divBdr>
    </w:div>
    <w:div w:id="1683389840">
      <w:bodyDiv w:val="1"/>
      <w:marLeft w:val="0"/>
      <w:marRight w:val="0"/>
      <w:marTop w:val="0"/>
      <w:marBottom w:val="0"/>
      <w:divBdr>
        <w:top w:val="none" w:sz="0" w:space="0" w:color="auto"/>
        <w:left w:val="none" w:sz="0" w:space="0" w:color="auto"/>
        <w:bottom w:val="none" w:sz="0" w:space="0" w:color="auto"/>
        <w:right w:val="none" w:sz="0" w:space="0" w:color="auto"/>
      </w:divBdr>
    </w:div>
    <w:div w:id="1690720553">
      <w:bodyDiv w:val="1"/>
      <w:marLeft w:val="0"/>
      <w:marRight w:val="0"/>
      <w:marTop w:val="0"/>
      <w:marBottom w:val="0"/>
      <w:divBdr>
        <w:top w:val="none" w:sz="0" w:space="0" w:color="auto"/>
        <w:left w:val="none" w:sz="0" w:space="0" w:color="auto"/>
        <w:bottom w:val="none" w:sz="0" w:space="0" w:color="auto"/>
        <w:right w:val="none" w:sz="0" w:space="0" w:color="auto"/>
      </w:divBdr>
    </w:div>
    <w:div w:id="1723753775">
      <w:bodyDiv w:val="1"/>
      <w:marLeft w:val="0"/>
      <w:marRight w:val="0"/>
      <w:marTop w:val="0"/>
      <w:marBottom w:val="0"/>
      <w:divBdr>
        <w:top w:val="none" w:sz="0" w:space="0" w:color="auto"/>
        <w:left w:val="none" w:sz="0" w:space="0" w:color="auto"/>
        <w:bottom w:val="none" w:sz="0" w:space="0" w:color="auto"/>
        <w:right w:val="none" w:sz="0" w:space="0" w:color="auto"/>
      </w:divBdr>
    </w:div>
    <w:div w:id="1770931153">
      <w:bodyDiv w:val="1"/>
      <w:marLeft w:val="0"/>
      <w:marRight w:val="0"/>
      <w:marTop w:val="0"/>
      <w:marBottom w:val="0"/>
      <w:divBdr>
        <w:top w:val="none" w:sz="0" w:space="0" w:color="auto"/>
        <w:left w:val="none" w:sz="0" w:space="0" w:color="auto"/>
        <w:bottom w:val="none" w:sz="0" w:space="0" w:color="auto"/>
        <w:right w:val="none" w:sz="0" w:space="0" w:color="auto"/>
      </w:divBdr>
    </w:div>
    <w:div w:id="1779988168">
      <w:bodyDiv w:val="1"/>
      <w:marLeft w:val="0"/>
      <w:marRight w:val="0"/>
      <w:marTop w:val="0"/>
      <w:marBottom w:val="0"/>
      <w:divBdr>
        <w:top w:val="none" w:sz="0" w:space="0" w:color="auto"/>
        <w:left w:val="none" w:sz="0" w:space="0" w:color="auto"/>
        <w:bottom w:val="none" w:sz="0" w:space="0" w:color="auto"/>
        <w:right w:val="none" w:sz="0" w:space="0" w:color="auto"/>
      </w:divBdr>
    </w:div>
    <w:div w:id="1813673347">
      <w:bodyDiv w:val="1"/>
      <w:marLeft w:val="0"/>
      <w:marRight w:val="0"/>
      <w:marTop w:val="0"/>
      <w:marBottom w:val="0"/>
      <w:divBdr>
        <w:top w:val="none" w:sz="0" w:space="0" w:color="auto"/>
        <w:left w:val="none" w:sz="0" w:space="0" w:color="auto"/>
        <w:bottom w:val="none" w:sz="0" w:space="0" w:color="auto"/>
        <w:right w:val="none" w:sz="0" w:space="0" w:color="auto"/>
      </w:divBdr>
    </w:div>
    <w:div w:id="1832986802">
      <w:bodyDiv w:val="1"/>
      <w:marLeft w:val="0"/>
      <w:marRight w:val="0"/>
      <w:marTop w:val="0"/>
      <w:marBottom w:val="0"/>
      <w:divBdr>
        <w:top w:val="none" w:sz="0" w:space="0" w:color="auto"/>
        <w:left w:val="none" w:sz="0" w:space="0" w:color="auto"/>
        <w:bottom w:val="none" w:sz="0" w:space="0" w:color="auto"/>
        <w:right w:val="none" w:sz="0" w:space="0" w:color="auto"/>
      </w:divBdr>
    </w:div>
    <w:div w:id="1834833936">
      <w:bodyDiv w:val="1"/>
      <w:marLeft w:val="0"/>
      <w:marRight w:val="0"/>
      <w:marTop w:val="0"/>
      <w:marBottom w:val="0"/>
      <w:divBdr>
        <w:top w:val="none" w:sz="0" w:space="0" w:color="auto"/>
        <w:left w:val="none" w:sz="0" w:space="0" w:color="auto"/>
        <w:bottom w:val="none" w:sz="0" w:space="0" w:color="auto"/>
        <w:right w:val="none" w:sz="0" w:space="0" w:color="auto"/>
      </w:divBdr>
    </w:div>
    <w:div w:id="1835297284">
      <w:bodyDiv w:val="1"/>
      <w:marLeft w:val="0"/>
      <w:marRight w:val="0"/>
      <w:marTop w:val="0"/>
      <w:marBottom w:val="0"/>
      <w:divBdr>
        <w:top w:val="none" w:sz="0" w:space="0" w:color="auto"/>
        <w:left w:val="none" w:sz="0" w:space="0" w:color="auto"/>
        <w:bottom w:val="none" w:sz="0" w:space="0" w:color="auto"/>
        <w:right w:val="none" w:sz="0" w:space="0" w:color="auto"/>
      </w:divBdr>
    </w:div>
    <w:div w:id="1842116636">
      <w:bodyDiv w:val="1"/>
      <w:marLeft w:val="0"/>
      <w:marRight w:val="0"/>
      <w:marTop w:val="0"/>
      <w:marBottom w:val="0"/>
      <w:divBdr>
        <w:top w:val="none" w:sz="0" w:space="0" w:color="auto"/>
        <w:left w:val="none" w:sz="0" w:space="0" w:color="auto"/>
        <w:bottom w:val="none" w:sz="0" w:space="0" w:color="auto"/>
        <w:right w:val="none" w:sz="0" w:space="0" w:color="auto"/>
      </w:divBdr>
    </w:div>
    <w:div w:id="1879507034">
      <w:bodyDiv w:val="1"/>
      <w:marLeft w:val="0"/>
      <w:marRight w:val="0"/>
      <w:marTop w:val="0"/>
      <w:marBottom w:val="0"/>
      <w:divBdr>
        <w:top w:val="none" w:sz="0" w:space="0" w:color="auto"/>
        <w:left w:val="none" w:sz="0" w:space="0" w:color="auto"/>
        <w:bottom w:val="none" w:sz="0" w:space="0" w:color="auto"/>
        <w:right w:val="none" w:sz="0" w:space="0" w:color="auto"/>
      </w:divBdr>
    </w:div>
    <w:div w:id="1888834208">
      <w:bodyDiv w:val="1"/>
      <w:marLeft w:val="0"/>
      <w:marRight w:val="0"/>
      <w:marTop w:val="0"/>
      <w:marBottom w:val="0"/>
      <w:divBdr>
        <w:top w:val="none" w:sz="0" w:space="0" w:color="auto"/>
        <w:left w:val="none" w:sz="0" w:space="0" w:color="auto"/>
        <w:bottom w:val="none" w:sz="0" w:space="0" w:color="auto"/>
        <w:right w:val="none" w:sz="0" w:space="0" w:color="auto"/>
      </w:divBdr>
    </w:div>
    <w:div w:id="1904096657">
      <w:bodyDiv w:val="1"/>
      <w:marLeft w:val="0"/>
      <w:marRight w:val="0"/>
      <w:marTop w:val="0"/>
      <w:marBottom w:val="0"/>
      <w:divBdr>
        <w:top w:val="none" w:sz="0" w:space="0" w:color="auto"/>
        <w:left w:val="none" w:sz="0" w:space="0" w:color="auto"/>
        <w:bottom w:val="none" w:sz="0" w:space="0" w:color="auto"/>
        <w:right w:val="none" w:sz="0" w:space="0" w:color="auto"/>
      </w:divBdr>
    </w:div>
    <w:div w:id="1912422529">
      <w:bodyDiv w:val="1"/>
      <w:marLeft w:val="0"/>
      <w:marRight w:val="0"/>
      <w:marTop w:val="0"/>
      <w:marBottom w:val="0"/>
      <w:divBdr>
        <w:top w:val="none" w:sz="0" w:space="0" w:color="auto"/>
        <w:left w:val="none" w:sz="0" w:space="0" w:color="auto"/>
        <w:bottom w:val="none" w:sz="0" w:space="0" w:color="auto"/>
        <w:right w:val="none" w:sz="0" w:space="0" w:color="auto"/>
      </w:divBdr>
    </w:div>
    <w:div w:id="1934584149">
      <w:bodyDiv w:val="1"/>
      <w:marLeft w:val="0"/>
      <w:marRight w:val="0"/>
      <w:marTop w:val="0"/>
      <w:marBottom w:val="0"/>
      <w:divBdr>
        <w:top w:val="none" w:sz="0" w:space="0" w:color="auto"/>
        <w:left w:val="none" w:sz="0" w:space="0" w:color="auto"/>
        <w:bottom w:val="none" w:sz="0" w:space="0" w:color="auto"/>
        <w:right w:val="none" w:sz="0" w:space="0" w:color="auto"/>
      </w:divBdr>
    </w:div>
    <w:div w:id="1940597905">
      <w:bodyDiv w:val="1"/>
      <w:marLeft w:val="0"/>
      <w:marRight w:val="0"/>
      <w:marTop w:val="0"/>
      <w:marBottom w:val="0"/>
      <w:divBdr>
        <w:top w:val="none" w:sz="0" w:space="0" w:color="auto"/>
        <w:left w:val="none" w:sz="0" w:space="0" w:color="auto"/>
        <w:bottom w:val="none" w:sz="0" w:space="0" w:color="auto"/>
        <w:right w:val="none" w:sz="0" w:space="0" w:color="auto"/>
      </w:divBdr>
    </w:div>
    <w:div w:id="1942910637">
      <w:bodyDiv w:val="1"/>
      <w:marLeft w:val="0"/>
      <w:marRight w:val="0"/>
      <w:marTop w:val="0"/>
      <w:marBottom w:val="0"/>
      <w:divBdr>
        <w:top w:val="none" w:sz="0" w:space="0" w:color="auto"/>
        <w:left w:val="none" w:sz="0" w:space="0" w:color="auto"/>
        <w:bottom w:val="none" w:sz="0" w:space="0" w:color="auto"/>
        <w:right w:val="none" w:sz="0" w:space="0" w:color="auto"/>
      </w:divBdr>
    </w:div>
    <w:div w:id="1943341217">
      <w:bodyDiv w:val="1"/>
      <w:marLeft w:val="0"/>
      <w:marRight w:val="0"/>
      <w:marTop w:val="0"/>
      <w:marBottom w:val="0"/>
      <w:divBdr>
        <w:top w:val="none" w:sz="0" w:space="0" w:color="auto"/>
        <w:left w:val="none" w:sz="0" w:space="0" w:color="auto"/>
        <w:bottom w:val="none" w:sz="0" w:space="0" w:color="auto"/>
        <w:right w:val="none" w:sz="0" w:space="0" w:color="auto"/>
      </w:divBdr>
    </w:div>
    <w:div w:id="1944610618">
      <w:bodyDiv w:val="1"/>
      <w:marLeft w:val="0"/>
      <w:marRight w:val="0"/>
      <w:marTop w:val="0"/>
      <w:marBottom w:val="0"/>
      <w:divBdr>
        <w:top w:val="none" w:sz="0" w:space="0" w:color="auto"/>
        <w:left w:val="none" w:sz="0" w:space="0" w:color="auto"/>
        <w:bottom w:val="none" w:sz="0" w:space="0" w:color="auto"/>
        <w:right w:val="none" w:sz="0" w:space="0" w:color="auto"/>
      </w:divBdr>
    </w:div>
    <w:div w:id="1947881782">
      <w:bodyDiv w:val="1"/>
      <w:marLeft w:val="0"/>
      <w:marRight w:val="0"/>
      <w:marTop w:val="0"/>
      <w:marBottom w:val="0"/>
      <w:divBdr>
        <w:top w:val="none" w:sz="0" w:space="0" w:color="auto"/>
        <w:left w:val="none" w:sz="0" w:space="0" w:color="auto"/>
        <w:bottom w:val="none" w:sz="0" w:space="0" w:color="auto"/>
        <w:right w:val="none" w:sz="0" w:space="0" w:color="auto"/>
      </w:divBdr>
    </w:div>
    <w:div w:id="1954359373">
      <w:bodyDiv w:val="1"/>
      <w:marLeft w:val="0"/>
      <w:marRight w:val="0"/>
      <w:marTop w:val="0"/>
      <w:marBottom w:val="0"/>
      <w:divBdr>
        <w:top w:val="none" w:sz="0" w:space="0" w:color="auto"/>
        <w:left w:val="none" w:sz="0" w:space="0" w:color="auto"/>
        <w:bottom w:val="none" w:sz="0" w:space="0" w:color="auto"/>
        <w:right w:val="none" w:sz="0" w:space="0" w:color="auto"/>
      </w:divBdr>
    </w:div>
    <w:div w:id="1980986903">
      <w:bodyDiv w:val="1"/>
      <w:marLeft w:val="0"/>
      <w:marRight w:val="0"/>
      <w:marTop w:val="0"/>
      <w:marBottom w:val="0"/>
      <w:divBdr>
        <w:top w:val="none" w:sz="0" w:space="0" w:color="auto"/>
        <w:left w:val="none" w:sz="0" w:space="0" w:color="auto"/>
        <w:bottom w:val="none" w:sz="0" w:space="0" w:color="auto"/>
        <w:right w:val="none" w:sz="0" w:space="0" w:color="auto"/>
      </w:divBdr>
    </w:div>
    <w:div w:id="1988898803">
      <w:bodyDiv w:val="1"/>
      <w:marLeft w:val="0"/>
      <w:marRight w:val="0"/>
      <w:marTop w:val="0"/>
      <w:marBottom w:val="0"/>
      <w:divBdr>
        <w:top w:val="none" w:sz="0" w:space="0" w:color="auto"/>
        <w:left w:val="none" w:sz="0" w:space="0" w:color="auto"/>
        <w:bottom w:val="none" w:sz="0" w:space="0" w:color="auto"/>
        <w:right w:val="none" w:sz="0" w:space="0" w:color="auto"/>
      </w:divBdr>
    </w:div>
    <w:div w:id="1994095285">
      <w:bodyDiv w:val="1"/>
      <w:marLeft w:val="0"/>
      <w:marRight w:val="0"/>
      <w:marTop w:val="0"/>
      <w:marBottom w:val="0"/>
      <w:divBdr>
        <w:top w:val="none" w:sz="0" w:space="0" w:color="auto"/>
        <w:left w:val="none" w:sz="0" w:space="0" w:color="auto"/>
        <w:bottom w:val="none" w:sz="0" w:space="0" w:color="auto"/>
        <w:right w:val="none" w:sz="0" w:space="0" w:color="auto"/>
      </w:divBdr>
    </w:div>
    <w:div w:id="1999773133">
      <w:bodyDiv w:val="1"/>
      <w:marLeft w:val="0"/>
      <w:marRight w:val="0"/>
      <w:marTop w:val="0"/>
      <w:marBottom w:val="0"/>
      <w:divBdr>
        <w:top w:val="none" w:sz="0" w:space="0" w:color="auto"/>
        <w:left w:val="none" w:sz="0" w:space="0" w:color="auto"/>
        <w:bottom w:val="none" w:sz="0" w:space="0" w:color="auto"/>
        <w:right w:val="none" w:sz="0" w:space="0" w:color="auto"/>
      </w:divBdr>
    </w:div>
    <w:div w:id="2005011142">
      <w:bodyDiv w:val="1"/>
      <w:marLeft w:val="0"/>
      <w:marRight w:val="0"/>
      <w:marTop w:val="0"/>
      <w:marBottom w:val="0"/>
      <w:divBdr>
        <w:top w:val="none" w:sz="0" w:space="0" w:color="auto"/>
        <w:left w:val="none" w:sz="0" w:space="0" w:color="auto"/>
        <w:bottom w:val="none" w:sz="0" w:space="0" w:color="auto"/>
        <w:right w:val="none" w:sz="0" w:space="0" w:color="auto"/>
      </w:divBdr>
      <w:divsChild>
        <w:div w:id="98836906">
          <w:marLeft w:val="806"/>
          <w:marRight w:val="0"/>
          <w:marTop w:val="180"/>
          <w:marBottom w:val="0"/>
          <w:divBdr>
            <w:top w:val="none" w:sz="0" w:space="0" w:color="auto"/>
            <w:left w:val="none" w:sz="0" w:space="0" w:color="auto"/>
            <w:bottom w:val="none" w:sz="0" w:space="0" w:color="auto"/>
            <w:right w:val="none" w:sz="0" w:space="0" w:color="auto"/>
          </w:divBdr>
        </w:div>
        <w:div w:id="891120290">
          <w:marLeft w:val="806"/>
          <w:marRight w:val="0"/>
          <w:marTop w:val="180"/>
          <w:marBottom w:val="0"/>
          <w:divBdr>
            <w:top w:val="none" w:sz="0" w:space="0" w:color="auto"/>
            <w:left w:val="none" w:sz="0" w:space="0" w:color="auto"/>
            <w:bottom w:val="none" w:sz="0" w:space="0" w:color="auto"/>
            <w:right w:val="none" w:sz="0" w:space="0" w:color="auto"/>
          </w:divBdr>
        </w:div>
        <w:div w:id="1317605732">
          <w:marLeft w:val="806"/>
          <w:marRight w:val="0"/>
          <w:marTop w:val="180"/>
          <w:marBottom w:val="0"/>
          <w:divBdr>
            <w:top w:val="none" w:sz="0" w:space="0" w:color="auto"/>
            <w:left w:val="none" w:sz="0" w:space="0" w:color="auto"/>
            <w:bottom w:val="none" w:sz="0" w:space="0" w:color="auto"/>
            <w:right w:val="none" w:sz="0" w:space="0" w:color="auto"/>
          </w:divBdr>
        </w:div>
        <w:div w:id="2141993357">
          <w:marLeft w:val="806"/>
          <w:marRight w:val="0"/>
          <w:marTop w:val="180"/>
          <w:marBottom w:val="0"/>
          <w:divBdr>
            <w:top w:val="none" w:sz="0" w:space="0" w:color="auto"/>
            <w:left w:val="none" w:sz="0" w:space="0" w:color="auto"/>
            <w:bottom w:val="none" w:sz="0" w:space="0" w:color="auto"/>
            <w:right w:val="none" w:sz="0" w:space="0" w:color="auto"/>
          </w:divBdr>
        </w:div>
      </w:divsChild>
    </w:div>
    <w:div w:id="2021228298">
      <w:bodyDiv w:val="1"/>
      <w:marLeft w:val="0"/>
      <w:marRight w:val="0"/>
      <w:marTop w:val="0"/>
      <w:marBottom w:val="0"/>
      <w:divBdr>
        <w:top w:val="none" w:sz="0" w:space="0" w:color="auto"/>
        <w:left w:val="none" w:sz="0" w:space="0" w:color="auto"/>
        <w:bottom w:val="none" w:sz="0" w:space="0" w:color="auto"/>
        <w:right w:val="none" w:sz="0" w:space="0" w:color="auto"/>
      </w:divBdr>
    </w:div>
    <w:div w:id="2044165525">
      <w:bodyDiv w:val="1"/>
      <w:marLeft w:val="0"/>
      <w:marRight w:val="0"/>
      <w:marTop w:val="0"/>
      <w:marBottom w:val="0"/>
      <w:divBdr>
        <w:top w:val="none" w:sz="0" w:space="0" w:color="auto"/>
        <w:left w:val="none" w:sz="0" w:space="0" w:color="auto"/>
        <w:bottom w:val="none" w:sz="0" w:space="0" w:color="auto"/>
        <w:right w:val="none" w:sz="0" w:space="0" w:color="auto"/>
      </w:divBdr>
    </w:div>
    <w:div w:id="2066291661">
      <w:bodyDiv w:val="1"/>
      <w:marLeft w:val="0"/>
      <w:marRight w:val="0"/>
      <w:marTop w:val="0"/>
      <w:marBottom w:val="0"/>
      <w:divBdr>
        <w:top w:val="none" w:sz="0" w:space="0" w:color="auto"/>
        <w:left w:val="none" w:sz="0" w:space="0" w:color="auto"/>
        <w:bottom w:val="none" w:sz="0" w:space="0" w:color="auto"/>
        <w:right w:val="none" w:sz="0" w:space="0" w:color="auto"/>
      </w:divBdr>
    </w:div>
    <w:div w:id="2066678510">
      <w:bodyDiv w:val="1"/>
      <w:marLeft w:val="0"/>
      <w:marRight w:val="0"/>
      <w:marTop w:val="0"/>
      <w:marBottom w:val="0"/>
      <w:divBdr>
        <w:top w:val="none" w:sz="0" w:space="0" w:color="auto"/>
        <w:left w:val="none" w:sz="0" w:space="0" w:color="auto"/>
        <w:bottom w:val="none" w:sz="0" w:space="0" w:color="auto"/>
        <w:right w:val="none" w:sz="0" w:space="0" w:color="auto"/>
      </w:divBdr>
    </w:div>
    <w:div w:id="2091152768">
      <w:bodyDiv w:val="1"/>
      <w:marLeft w:val="0"/>
      <w:marRight w:val="0"/>
      <w:marTop w:val="0"/>
      <w:marBottom w:val="0"/>
      <w:divBdr>
        <w:top w:val="none" w:sz="0" w:space="0" w:color="auto"/>
        <w:left w:val="none" w:sz="0" w:space="0" w:color="auto"/>
        <w:bottom w:val="none" w:sz="0" w:space="0" w:color="auto"/>
        <w:right w:val="none" w:sz="0" w:space="0" w:color="auto"/>
      </w:divBdr>
    </w:div>
    <w:div w:id="2102136206">
      <w:bodyDiv w:val="1"/>
      <w:marLeft w:val="0"/>
      <w:marRight w:val="0"/>
      <w:marTop w:val="0"/>
      <w:marBottom w:val="0"/>
      <w:divBdr>
        <w:top w:val="none" w:sz="0" w:space="0" w:color="auto"/>
        <w:left w:val="none" w:sz="0" w:space="0" w:color="auto"/>
        <w:bottom w:val="none" w:sz="0" w:space="0" w:color="auto"/>
        <w:right w:val="none" w:sz="0" w:space="0" w:color="auto"/>
      </w:divBdr>
    </w:div>
    <w:div w:id="2141535076">
      <w:bodyDiv w:val="1"/>
      <w:marLeft w:val="0"/>
      <w:marRight w:val="0"/>
      <w:marTop w:val="0"/>
      <w:marBottom w:val="0"/>
      <w:divBdr>
        <w:top w:val="none" w:sz="0" w:space="0" w:color="auto"/>
        <w:left w:val="none" w:sz="0" w:space="0" w:color="auto"/>
        <w:bottom w:val="none" w:sz="0" w:space="0" w:color="auto"/>
        <w:right w:val="none" w:sz="0" w:space="0" w:color="auto"/>
      </w:divBdr>
    </w:div>
    <w:div w:id="21425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ipdas.ohri.ca/" TargetMode="External"/><Relationship Id="rId18" Type="http://schemas.openxmlformats.org/officeDocument/2006/relationships/header" Target="header1.xml"/><Relationship Id="rId26" Type="http://schemas.openxmlformats.org/officeDocument/2006/relationships/hyperlink" Target="https://clinicaltrials.gov/ct2/show/NCT03568552" TargetMode="External"/><Relationship Id="rId39" Type="http://schemas.openxmlformats.org/officeDocument/2006/relationships/hyperlink" Target="https://www.ncbi.nlm.nih.gov/pmc/articles/PMC6196568/"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s://www.cochranelibrary.com/cdsr/doi/10.1002/14651858.CD010907.pub2/full?highlightAbstract=shared%7Cmaking%7Cdecision%7Cwithdrawn%7Cshare%7Cdecis%7Cmake" TargetMode="External"/><Relationship Id="rId42" Type="http://schemas.openxmlformats.org/officeDocument/2006/relationships/hyperlink" Target="https://www.hsrd.research.va.gov/publications/esp/shareddecision.cfm"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5" Type="http://schemas.openxmlformats.org/officeDocument/2006/relationships/hyperlink" Target="https://www.ncbi.nlm.nih.gov/pmc/articles/PMC6196568/" TargetMode="External"/><Relationship Id="rId33" Type="http://schemas.openxmlformats.org/officeDocument/2006/relationships/hyperlink" Target="https://www.cochranelibrary.com/cdsr/doi/10.1002/14651858.CD008970.pub3/full?highlightAbstract=shared%7Cmaking%7Cdecision%7Cwithdrawn%7Cshare%7Cdecis%7Cmake" TargetMode="External"/><Relationship Id="rId38" Type="http://schemas.openxmlformats.org/officeDocument/2006/relationships/hyperlink" Target="https://www.cochranelibrary.com/cdsr/doi/10.1002/14651858.CD009780.pub3/full?highlightAbstract=shared%7Cmaking%7Cdecision%7Cwithdrawn%7Cshare%7Cdecis%7Cmake" TargetMode="External"/><Relationship Id="rId2" Type="http://schemas.openxmlformats.org/officeDocument/2006/relationships/numbering" Target="numbering.xml"/><Relationship Id="rId16" Type="http://schemas.openxmlformats.org/officeDocument/2006/relationships/hyperlink" Target="https://med.dartmouth-hitchcock.org/csdm_toolkits/primary_care_toolkit.html" TargetMode="External"/><Relationship Id="rId20" Type="http://schemas.openxmlformats.org/officeDocument/2006/relationships/footer" Target="footer3.xml"/><Relationship Id="rId29" Type="http://schemas.openxmlformats.org/officeDocument/2006/relationships/hyperlink" Target="https://www.cochranelibrary.com/cdsr/doi/10.1002/14651858.CD012578.pub2/full?highlightAbstract=shared%7Cmaking%7Cdecision%7Cwithdrawn%7Cshare%7Cdecis%7Cmake" TargetMode="External"/><Relationship Id="rId41" Type="http://schemas.openxmlformats.org/officeDocument/2006/relationships/hyperlink" Target="https://bmcmedinformdecismak.biomedcentral.com/track/pdf/10.1186/1472-6947-13-S2-S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stfm.org/fmhub/fm2011/April/Kimberly260.pdf" TargetMode="External"/><Relationship Id="rId32" Type="http://schemas.openxmlformats.org/officeDocument/2006/relationships/hyperlink" Target="https://www.cochranelibrary.com/cdsr/doi/10.1002/14651858.CD007297.pub2/full?highlightAbstract=shared%7Cmaking%7Cdecision%7Cwithdrawn%7Cshare%7Cdecis%7Cmake" TargetMode="External"/><Relationship Id="rId37" Type="http://schemas.openxmlformats.org/officeDocument/2006/relationships/hyperlink" Target="https://www.cochranelibrary.com/cdsr/doi/10.1002/14651858.CD012252.pub2/full?highlightAbstract=shared%7Cmaking%7Cdecision%7Cwithdrawn%7Cshare%7Cdecis%7Cmake" TargetMode="External"/><Relationship Id="rId40" Type="http://schemas.openxmlformats.org/officeDocument/2006/relationships/hyperlink" Target="https://www.ncbi.nlm.nih.gov/pmc/articles/PMC4970246/" TargetMode="External"/><Relationship Id="rId5" Type="http://schemas.openxmlformats.org/officeDocument/2006/relationships/webSettings" Target="webSettings.xml"/><Relationship Id="rId15" Type="http://schemas.openxmlformats.org/officeDocument/2006/relationships/hyperlink" Target="https://www.ahrq.gov/professionals/education/curriculum-tools/shareddecisionmaking/tools/tool-8/index.html" TargetMode="External"/><Relationship Id="rId23" Type="http://schemas.openxmlformats.org/officeDocument/2006/relationships/hyperlink" Target="https://jamanetwork.com/journals/jamasurgery/fullarticle/2586341" TargetMode="External"/><Relationship Id="rId28" Type="http://schemas.openxmlformats.org/officeDocument/2006/relationships/hyperlink" Target="https://effectivehealthcare.ahrq.gov/topics/cancer-decision-support-tools/research" TargetMode="External"/><Relationship Id="rId36" Type="http://schemas.openxmlformats.org/officeDocument/2006/relationships/hyperlink" Target="https://www.cochranelibrary.com/cdsr/doi/10.1002/14651858.CD003267.pub2/full?highlightAbstract=shared%7Cmaking%7Cdecision%7Cwithdrawn%7Cshare%7Cdecis%7Cmake" TargetMode="External"/><Relationship Id="rId10" Type="http://schemas.openxmlformats.org/officeDocument/2006/relationships/diagramQuickStyle" Target="diagrams/quickStyle1.xml"/><Relationship Id="rId19" Type="http://schemas.openxmlformats.org/officeDocument/2006/relationships/footer" Target="footer2.xml"/><Relationship Id="rId31" Type="http://schemas.openxmlformats.org/officeDocument/2006/relationships/hyperlink" Target="https://www.cochranelibrary.com/cdsr/doi/10.1002/14651858.CD012330.pub2/full?highlightAbstract=shared%7Cmaking%7Cdecision%7Cwithdrawn%7Cshare%7Cdecis%7Cmak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ahrq.gov/professionals/prevention-chronic-care/improve/self-mgmt/pemat/pemat1.html" TargetMode="External"/><Relationship Id="rId22" Type="http://schemas.openxmlformats.org/officeDocument/2006/relationships/footer" Target="footer4.xml"/><Relationship Id="rId27" Type="http://schemas.openxmlformats.org/officeDocument/2006/relationships/hyperlink" Target="https://waportal.org/resources/shared-decision-making-online-skills-course-providers" TargetMode="External"/><Relationship Id="rId30" Type="http://schemas.openxmlformats.org/officeDocument/2006/relationships/hyperlink" Target="https://www.cochranelibrary.com/cdsr/doi/10.1002/14651858.CD006732.pub4/full?highlightAbstract=shared%7Cmaking%7Cdecision%7Cwithdrawn%7Cshare%7Cdecis%7Cmake" TargetMode="External"/><Relationship Id="rId35" Type="http://schemas.openxmlformats.org/officeDocument/2006/relationships/hyperlink" Target="https://www.cochranelibrary.com/cdsr/doi/10.1002/14651858.CD010041.pub2/full?highlightAbstract=shared%7Cmaking%7Cdecision%7Cwithdrawn%7Cshare%7Cdecis%7Cmake" TargetMode="External"/><Relationship Id="rId43"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app.leg.wa.gov/RCW/default.aspx?cite=7.70.060" TargetMode="External"/><Relationship Id="rId2" Type="http://schemas.openxmlformats.org/officeDocument/2006/relationships/hyperlink" Target="http://www.hca.wa.gov/about-hca/healthier-washington/patient-decision-aids-pdas" TargetMode="External"/><Relationship Id="rId1" Type="http://schemas.openxmlformats.org/officeDocument/2006/relationships/hyperlink" Target="http://www.hca.wa.gov/about-hca/healthier-washington/shared-decision-making" TargetMode="External"/><Relationship Id="rId5" Type="http://schemas.openxmlformats.org/officeDocument/2006/relationships/hyperlink" Target="https://www.ahrq.gov/professionals/education/curriculum-tools/shareddecisionmaking/tools/tool-8/index.html" TargetMode="External"/><Relationship Id="rId4" Type="http://schemas.openxmlformats.org/officeDocument/2006/relationships/hyperlink" Target="https://apps.leg.wa.gov/documents/billdocs/2011-12/Pdf/Bills/House%20Passed%20Legislature/1311-S.PL.pdf"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F410E3-3946-46DF-9DBD-9F02F33017D2}" type="doc">
      <dgm:prSet loTypeId="urn:microsoft.com/office/officeart/2005/8/layout/venn1" loCatId="relationship" qsTypeId="urn:microsoft.com/office/officeart/2005/8/quickstyle/simple1" qsCatId="simple" csTypeId="urn:microsoft.com/office/officeart/2005/8/colors/colorful4" csCatId="colorful" phldr="1"/>
      <dgm:spPr/>
    </dgm:pt>
    <dgm:pt modelId="{056492F3-4295-4B26-8F4F-CDC749304FF4}">
      <dgm:prSet phldrT="[Text]" custT="1"/>
      <dgm:spPr/>
      <dgm:t>
        <a:bodyPr/>
        <a:lstStyle/>
        <a:p>
          <a:r>
            <a:rPr lang="en-US" sz="1200" b="1"/>
            <a:t>Evidence </a:t>
          </a:r>
          <a:br>
            <a:rPr lang="en-US" sz="1200" b="1"/>
          </a:br>
          <a:r>
            <a:rPr lang="en-US" sz="1200" b="1"/>
            <a:t>For</a:t>
          </a:r>
        </a:p>
        <a:p>
          <a:endParaRPr lang="en-US" sz="1800" b="1"/>
        </a:p>
        <a:p>
          <a:endParaRPr lang="en-US" sz="1100"/>
        </a:p>
        <a:p>
          <a:r>
            <a:rPr lang="en-US" sz="1100"/>
            <a:t>MMR Vaccine</a:t>
          </a:r>
        </a:p>
      </dgm:t>
    </dgm:pt>
    <dgm:pt modelId="{F53C1992-CFD8-4EDA-A6C7-7543FE97E27F}" type="parTrans" cxnId="{3605740F-D349-46C5-B57C-1B3E8289E0DF}">
      <dgm:prSet/>
      <dgm:spPr/>
      <dgm:t>
        <a:bodyPr/>
        <a:lstStyle/>
        <a:p>
          <a:endParaRPr lang="en-US"/>
        </a:p>
      </dgm:t>
    </dgm:pt>
    <dgm:pt modelId="{58656B59-0812-4414-938B-D8268B9529DC}" type="sibTrans" cxnId="{3605740F-D349-46C5-B57C-1B3E8289E0DF}">
      <dgm:prSet/>
      <dgm:spPr/>
      <dgm:t>
        <a:bodyPr/>
        <a:lstStyle/>
        <a:p>
          <a:endParaRPr lang="en-US"/>
        </a:p>
      </dgm:t>
    </dgm:pt>
    <dgm:pt modelId="{35637E64-F90C-4EEC-93F9-7C3B51EC4777}">
      <dgm:prSet phldrT="[Text]" custT="1"/>
      <dgm:spPr/>
      <dgm:t>
        <a:bodyPr/>
        <a:lstStyle/>
        <a:p>
          <a:r>
            <a:rPr lang="en-US" sz="1200" b="1"/>
            <a:t>Evidence Against</a:t>
          </a:r>
        </a:p>
        <a:p>
          <a:endParaRPr lang="en-US" sz="1200" b="1"/>
        </a:p>
        <a:p>
          <a:endParaRPr lang="en-US" sz="1200"/>
        </a:p>
        <a:p>
          <a:r>
            <a:rPr lang="en-US" sz="1200"/>
            <a:t>Antibiotics for ear infections </a:t>
          </a:r>
        </a:p>
      </dgm:t>
    </dgm:pt>
    <dgm:pt modelId="{47F90151-0423-4E17-8D2B-7A1810B47E7D}" type="parTrans" cxnId="{6E2A2083-2BD6-47D7-B4CF-3A6962C65072}">
      <dgm:prSet/>
      <dgm:spPr/>
      <dgm:t>
        <a:bodyPr/>
        <a:lstStyle/>
        <a:p>
          <a:endParaRPr lang="en-US"/>
        </a:p>
      </dgm:t>
    </dgm:pt>
    <dgm:pt modelId="{803CFC71-1707-45A9-B07B-1252CA0E2055}" type="sibTrans" cxnId="{6E2A2083-2BD6-47D7-B4CF-3A6962C65072}">
      <dgm:prSet/>
      <dgm:spPr/>
      <dgm:t>
        <a:bodyPr/>
        <a:lstStyle/>
        <a:p>
          <a:endParaRPr lang="en-US"/>
        </a:p>
      </dgm:t>
    </dgm:pt>
    <dgm:pt modelId="{F6F847C5-69F0-4130-B6AB-12615CE174D1}" type="pres">
      <dgm:prSet presAssocID="{A7F410E3-3946-46DF-9DBD-9F02F33017D2}" presName="compositeShape" presStyleCnt="0">
        <dgm:presLayoutVars>
          <dgm:chMax val="7"/>
          <dgm:dir/>
          <dgm:resizeHandles val="exact"/>
        </dgm:presLayoutVars>
      </dgm:prSet>
      <dgm:spPr/>
    </dgm:pt>
    <dgm:pt modelId="{FC31358B-CE4D-4748-9124-838389D0AF17}" type="pres">
      <dgm:prSet presAssocID="{056492F3-4295-4B26-8F4F-CDC749304FF4}" presName="circ1" presStyleLbl="vennNode1" presStyleIdx="0" presStyleCnt="2"/>
      <dgm:spPr/>
      <dgm:t>
        <a:bodyPr/>
        <a:lstStyle/>
        <a:p>
          <a:endParaRPr lang="en-US"/>
        </a:p>
      </dgm:t>
    </dgm:pt>
    <dgm:pt modelId="{53532EED-5E25-401F-A436-6472784D460B}" type="pres">
      <dgm:prSet presAssocID="{056492F3-4295-4B26-8F4F-CDC749304FF4}" presName="circ1Tx" presStyleLbl="revTx" presStyleIdx="0" presStyleCnt="0">
        <dgm:presLayoutVars>
          <dgm:chMax val="0"/>
          <dgm:chPref val="0"/>
          <dgm:bulletEnabled val="1"/>
        </dgm:presLayoutVars>
      </dgm:prSet>
      <dgm:spPr/>
      <dgm:t>
        <a:bodyPr/>
        <a:lstStyle/>
        <a:p>
          <a:endParaRPr lang="en-US"/>
        </a:p>
      </dgm:t>
    </dgm:pt>
    <dgm:pt modelId="{D6C1ED48-0637-4A9C-BAF2-6A6AEBB20D35}" type="pres">
      <dgm:prSet presAssocID="{35637E64-F90C-4EEC-93F9-7C3B51EC4777}" presName="circ2" presStyleLbl="vennNode1" presStyleIdx="1" presStyleCnt="2"/>
      <dgm:spPr/>
      <dgm:t>
        <a:bodyPr/>
        <a:lstStyle/>
        <a:p>
          <a:endParaRPr lang="en-US"/>
        </a:p>
      </dgm:t>
    </dgm:pt>
    <dgm:pt modelId="{DE3282F2-7721-4A6C-8ACF-D7970DC861C5}" type="pres">
      <dgm:prSet presAssocID="{35637E64-F90C-4EEC-93F9-7C3B51EC4777}" presName="circ2Tx" presStyleLbl="revTx" presStyleIdx="0" presStyleCnt="0">
        <dgm:presLayoutVars>
          <dgm:chMax val="0"/>
          <dgm:chPref val="0"/>
          <dgm:bulletEnabled val="1"/>
        </dgm:presLayoutVars>
      </dgm:prSet>
      <dgm:spPr/>
      <dgm:t>
        <a:bodyPr/>
        <a:lstStyle/>
        <a:p>
          <a:endParaRPr lang="en-US"/>
        </a:p>
      </dgm:t>
    </dgm:pt>
  </dgm:ptLst>
  <dgm:cxnLst>
    <dgm:cxn modelId="{9251527C-0F55-4066-AD5A-CB18EB432801}" type="presOf" srcId="{35637E64-F90C-4EEC-93F9-7C3B51EC4777}" destId="{DE3282F2-7721-4A6C-8ACF-D7970DC861C5}" srcOrd="1" destOrd="0" presId="urn:microsoft.com/office/officeart/2005/8/layout/venn1"/>
    <dgm:cxn modelId="{5B8B81B5-A9D0-430C-A9B1-3EC9C2EA644C}" type="presOf" srcId="{35637E64-F90C-4EEC-93F9-7C3B51EC4777}" destId="{D6C1ED48-0637-4A9C-BAF2-6A6AEBB20D35}" srcOrd="0" destOrd="0" presId="urn:microsoft.com/office/officeart/2005/8/layout/venn1"/>
    <dgm:cxn modelId="{6E2A2083-2BD6-47D7-B4CF-3A6962C65072}" srcId="{A7F410E3-3946-46DF-9DBD-9F02F33017D2}" destId="{35637E64-F90C-4EEC-93F9-7C3B51EC4777}" srcOrd="1" destOrd="0" parTransId="{47F90151-0423-4E17-8D2B-7A1810B47E7D}" sibTransId="{803CFC71-1707-45A9-B07B-1252CA0E2055}"/>
    <dgm:cxn modelId="{9C2E119C-38D2-405A-A247-4CB482482AAD}" type="presOf" srcId="{056492F3-4295-4B26-8F4F-CDC749304FF4}" destId="{53532EED-5E25-401F-A436-6472784D460B}" srcOrd="1" destOrd="0" presId="urn:microsoft.com/office/officeart/2005/8/layout/venn1"/>
    <dgm:cxn modelId="{2A0A9F82-016B-4E1F-B205-17648F444268}" type="presOf" srcId="{A7F410E3-3946-46DF-9DBD-9F02F33017D2}" destId="{F6F847C5-69F0-4130-B6AB-12615CE174D1}" srcOrd="0" destOrd="0" presId="urn:microsoft.com/office/officeart/2005/8/layout/venn1"/>
    <dgm:cxn modelId="{A63283E6-C136-4820-899E-9A88B0C78EFE}" type="presOf" srcId="{056492F3-4295-4B26-8F4F-CDC749304FF4}" destId="{FC31358B-CE4D-4748-9124-838389D0AF17}" srcOrd="0" destOrd="0" presId="urn:microsoft.com/office/officeart/2005/8/layout/venn1"/>
    <dgm:cxn modelId="{3605740F-D349-46C5-B57C-1B3E8289E0DF}" srcId="{A7F410E3-3946-46DF-9DBD-9F02F33017D2}" destId="{056492F3-4295-4B26-8F4F-CDC749304FF4}" srcOrd="0" destOrd="0" parTransId="{F53C1992-CFD8-4EDA-A6C7-7543FE97E27F}" sibTransId="{58656B59-0812-4414-938B-D8268B9529DC}"/>
    <dgm:cxn modelId="{3278F4F2-4E7D-4D2C-982B-4FBE559DDF00}" type="presParOf" srcId="{F6F847C5-69F0-4130-B6AB-12615CE174D1}" destId="{FC31358B-CE4D-4748-9124-838389D0AF17}" srcOrd="0" destOrd="0" presId="urn:microsoft.com/office/officeart/2005/8/layout/venn1"/>
    <dgm:cxn modelId="{E035AFCA-13CA-4DAA-AD1D-8629BAB5B77E}" type="presParOf" srcId="{F6F847C5-69F0-4130-B6AB-12615CE174D1}" destId="{53532EED-5E25-401F-A436-6472784D460B}" srcOrd="1" destOrd="0" presId="urn:microsoft.com/office/officeart/2005/8/layout/venn1"/>
    <dgm:cxn modelId="{CAEA592F-214D-416E-BDA3-4DA8A916A667}" type="presParOf" srcId="{F6F847C5-69F0-4130-B6AB-12615CE174D1}" destId="{D6C1ED48-0637-4A9C-BAF2-6A6AEBB20D35}" srcOrd="2" destOrd="0" presId="urn:microsoft.com/office/officeart/2005/8/layout/venn1"/>
    <dgm:cxn modelId="{0C632064-19FE-45DD-B6F7-2138A7AB5838}" type="presParOf" srcId="{F6F847C5-69F0-4130-B6AB-12615CE174D1}" destId="{DE3282F2-7721-4A6C-8ACF-D7970DC861C5}" srcOrd="3"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1358B-CE4D-4748-9124-838389D0AF17}">
      <dsp:nvSpPr>
        <dsp:cNvPr id="0" name=""/>
        <dsp:cNvSpPr/>
      </dsp:nvSpPr>
      <dsp:spPr>
        <a:xfrm>
          <a:off x="71794" y="33694"/>
          <a:ext cx="1770935" cy="177093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US" sz="1200" b="1" kern="1200"/>
            <a:t>Evidence </a:t>
          </a:r>
          <a:br>
            <a:rPr lang="en-US" sz="1200" b="1" kern="1200"/>
          </a:br>
          <a:r>
            <a:rPr lang="en-US" sz="1200" b="1" kern="1200"/>
            <a:t>For</a:t>
          </a:r>
        </a:p>
        <a:p>
          <a:pPr lvl="0" algn="ctr" defTabSz="533400">
            <a:lnSpc>
              <a:spcPct val="90000"/>
            </a:lnSpc>
            <a:spcBef>
              <a:spcPct val="0"/>
            </a:spcBef>
            <a:spcAft>
              <a:spcPct val="35000"/>
            </a:spcAft>
          </a:pPr>
          <a:endParaRPr lang="en-US" sz="1800" b="1" kern="1200"/>
        </a:p>
        <a:p>
          <a:pPr lvl="0" algn="ctr" defTabSz="533400">
            <a:lnSpc>
              <a:spcPct val="90000"/>
            </a:lnSpc>
            <a:spcBef>
              <a:spcPct val="0"/>
            </a:spcBef>
            <a:spcAft>
              <a:spcPct val="35000"/>
            </a:spcAft>
          </a:pPr>
          <a:endParaRPr lang="en-US" sz="1100" kern="1200"/>
        </a:p>
        <a:p>
          <a:pPr lvl="0" algn="ctr" defTabSz="533400">
            <a:lnSpc>
              <a:spcPct val="90000"/>
            </a:lnSpc>
            <a:spcBef>
              <a:spcPct val="0"/>
            </a:spcBef>
            <a:spcAft>
              <a:spcPct val="35000"/>
            </a:spcAft>
          </a:pPr>
          <a:r>
            <a:rPr lang="en-US" sz="1100" kern="1200"/>
            <a:t>MMR Vaccine</a:t>
          </a:r>
        </a:p>
      </dsp:txBody>
      <dsp:txXfrm>
        <a:off x="319087" y="242526"/>
        <a:ext cx="1021080" cy="1353272"/>
      </dsp:txXfrm>
    </dsp:sp>
    <dsp:sp modelId="{D6C1ED48-0637-4A9C-BAF2-6A6AEBB20D35}">
      <dsp:nvSpPr>
        <dsp:cNvPr id="0" name=""/>
        <dsp:cNvSpPr/>
      </dsp:nvSpPr>
      <dsp:spPr>
        <a:xfrm>
          <a:off x="1348144" y="33694"/>
          <a:ext cx="1770935" cy="1770935"/>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US" sz="1200" b="1" kern="1200"/>
            <a:t>Evidence Against</a:t>
          </a:r>
        </a:p>
        <a:p>
          <a:pPr lvl="0" algn="ctr" defTabSz="533400">
            <a:lnSpc>
              <a:spcPct val="90000"/>
            </a:lnSpc>
            <a:spcBef>
              <a:spcPct val="0"/>
            </a:spcBef>
            <a:spcAft>
              <a:spcPct val="35000"/>
            </a:spcAft>
          </a:pPr>
          <a:endParaRPr lang="en-US" sz="1200" b="1" kern="1200"/>
        </a:p>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r>
            <a:rPr lang="en-US" sz="1200" kern="1200"/>
            <a:t>Antibiotics for ear infections </a:t>
          </a:r>
        </a:p>
      </dsp:txBody>
      <dsp:txXfrm>
        <a:off x="1850707" y="242526"/>
        <a:ext cx="1021080" cy="135327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xmlns:b="http://schemas.openxmlformats.org/officeDocument/2006/bibliography" xmlns="http://schemas.openxmlformats.org/officeDocument/2006/bibliography">
    <b:Tag>Placeholder1</b:Tag>
    <b:RefOrder>1</b:RefOrder>
  </b:Source>
  <b:Source>
    <b:Tag>Pinn1</b:Tag>
    <b:SourceType>ArticleInAPeriodical</b:SourceType>
    <b:Guid>{7784F368-FC5B-475A-A3CA-EB4AAEB6F5AD}</b:Guid>
    <b:Title>Quality Measures For Mental Health And Substance Use: Gaps, Opportunities, And Challenges.</b:Title>
    <b:Year>2016 Jun 1</b:Year>
    <b:Author>
      <b:Author>
        <b:NameList>
          <b:Person>
            <b:Last>Pincus HA</b:Last>
            <b:First>Scholle</b:First>
            <b:Middle>SH, Spaeth-Rublee B, Hepner KA, Brown J.</b:Middle>
          </b:Person>
        </b:NameList>
      </b:Author>
    </b:Author>
    <b:PeriodicalTitle>Health Aff (Millwood)</b:PeriodicalTitle>
    <b:Edition>35</b:Edition>
    <b:Volume>6</b:Volume>
    <b:Issue>1000-8</b:Issue>
    <b:RefOrder>2</b:RefOrder>
  </b:Source>
  <b:Source>
    <b:Tag>Bisar</b:Tag>
    <b:SourceType>ArticleInAPeriodical</b:SourceType>
    <b:Guid>{610D5D61-B5D3-45E4-AD31-A3AF3E752C3C}</b:Guid>
    <b:Author>
      <b:Author>
        <b:NameList>
          <b:Person>
            <b:Last>Bishop TF</b:Last>
            <b:First>Ramsay</b:First>
            <b:Middle>PP, Casalino LP, Bao Y, Pincus HA, Shortell SM.</b:Middle>
          </b:Person>
        </b:NameList>
      </b:Author>
    </b:Author>
    <b:Title>Care Management Processes Used Less Often For Depression Than For Other Chronic Conditions In US Primary Care Practices.</b:Title>
    <b:Year>2016 Mar 1</b:Year>
    <b:JournalName>Health Aff (Millwood)</b:JournalName>
    <b:Pages>394-400</b:Pages>
    <b:Volume>3</b:Volume>
    <b:PeriodicalTitle>Health Aff (Millwood)</b:PeriodicalTitle>
    <b:Edition>35</b:Edition>
    <b:RefOrder>3</b:RefOrder>
  </b:Source>
  <b:Source>
    <b:Tag>Ser16</b:Tag>
    <b:SourceType>InternetSite</b:SourceType>
    <b:Guid>{41B73D55-AE0B-45D4-ABBC-5FB943D09999}</b:Guid>
    <b:Title>Consensus Core Set: ACO and PCMH / Primary Care Measures</b:Title>
    <b:Year>2016</b:Year>
    <b:Author>
      <b:Author>
        <b:NameList>
          <b:Person>
            <b:Last>Services</b:Last>
            <b:First>Centers</b:First>
            <b:Middle>for Medicare and Medicaid</b:Middle>
          </b:Person>
        </b:NameList>
      </b:Author>
    </b:Author>
    <b:YearAccessed>2016</b:YearAccessed>
    <b:MonthAccessed>July</b:MonthAccessed>
    <b:URL>https://www.cms.gov/Medicare/Quality-Initiatives-Patient-Assessment-Instruments/QualityMeasures/Downloads/ACO-and-PCMH-Primary-Care-Measures.pdf</b:URL>
    <b:Month>March </b:Month>
    <b:Day>2</b:Day>
    <b:RefOrder>4</b:RefOrder>
  </b:Source>
  <b:Source>
    <b:Tag>Nat15</b:Tag>
    <b:SourceType>InternetSite</b:SourceType>
    <b:Guid>{57E93ABF-6C0D-4BA4-89E5-B4BF0A94E969}</b:Guid>
    <b:Title>Major Depression Among Adults</b:Title>
    <b:Year>2015</b:Year>
    <b:Month>August</b:Month>
    <b:URL>www.nimh.nih.gov/health/statistics/prevalence/major-depression-among-adults.shtml</b:URL>
    <b:Author>
      <b:Author>
        <b:NameList>
          <b:Person>
            <b:Last>Health</b:Last>
            <b:First>National</b:First>
            <b:Middle>Institutes of Mental</b:Middle>
          </b:Person>
        </b:NameList>
      </b:Author>
    </b:Author>
    <b:RefOrder>5</b:RefOrder>
  </b:Source>
  <b:Source>
    <b:Tag>Har10</b:Tag>
    <b:SourceType>ArticleInAPeriodical</b:SourceType>
    <b:Guid>{B015130C-7595-441B-8957-7CF60BB1F085}</b:Guid>
    <b:Title>Variations in the probability of depression screening at community-based physician practice visits.</b:Title>
    <b:Year>2010</b:Year>
    <b:Author>
      <b:Author>
        <b:NameList>
          <b:Person>
            <b:Last>Harrison DL</b:Last>
            <b:First>Miller</b:First>
            <b:Middle>MJ, Schmitt MR, Touchet BK</b:Middle>
          </b:Person>
        </b:NameList>
      </b:Author>
    </b:Author>
    <b:Volume>5</b:Volume>
    <b:PeriodicalTitle>Prim Care Companion J Clin Psychiatry</b:PeriodicalTitle>
    <b:Edition>12</b:Edition>
    <b:RefOrder>6</b:RefOrder>
  </b:Source>
  <b:Source>
    <b:Tag>Hea15</b:Tag>
    <b:SourceType>InternetSite</b:SourceType>
    <b:Guid>{DB977052-972A-4E83-9686-89B76975449C}</b:Guid>
    <b:Author>
      <b:Author>
        <b:NameList>
          <b:Person>
            <b:Last>Health</b:Last>
            <b:First>National</b:First>
            <b:Middle>Institute of Mental</b:Middle>
          </b:Person>
        </b:NameList>
      </b:Author>
    </b:Author>
    <b:Title>What is Depression? </b:Title>
    <b:Year>2015</b:Year>
    <b:Month>August</b:Month>
    <b:URL>http://www.nimh.nih.gov/health/publications/depression/index.shtml</b:URL>
    <b:RefOrder>7</b:RefOrder>
  </b:Source>
  <b:Source>
    <b:Tag>Men</b:Tag>
    <b:SourceType>InternetSite</b:SourceType>
    <b:Guid>{C72326E9-7CE0-462F-8F69-5781F9331A29}</b:Guid>
    <b:Author>
      <b:Author>
        <b:NameList>
          <b:Person>
            <b:Last>America</b:Last>
            <b:First>Mental</b:First>
            <b:Middle>Health</b:Middle>
          </b:Person>
        </b:NameList>
      </b:Author>
    </b:Author>
    <b:Title>Parity or Disparity: The State of Mental Health in America 2015. </b:Title>
    <b:URL>www.mentalhealthamerica.net/sites/default/files/Parity%20or%20Disparity%202015%20Report.pdf </b:URL>
    <b:RefOrder>8</b:RefOrder>
  </b:Source>
  <b:Source>
    <b:Tag>AIM14</b:Tag>
    <b:SourceType>InternetSite</b:SourceType>
    <b:Guid>{112CE28B-1B12-4013-A69B-C614070F8533}</b:Guid>
    <b:Author>
      <b:Author>
        <b:NameList>
          <b:Person>
            <b:Last>Center</b:Last>
            <b:First>AIMS</b:First>
          </b:Person>
        </b:NameList>
      </b:Author>
    </b:Author>
    <b:Title>Dollars and Sense</b:Title>
    <b:Year>2014</b:Year>
    <b:YearAccessed>2015</b:YearAccessed>
    <b:MonthAccessed>August </b:MonthAccessed>
    <b:URL>http://aims.uw.edu/collaborative-care/dollars-sense</b:URL>
    <b:RefOrder>9</b:RefOrder>
  </b:Source>
  <b:Source>
    <b:Tag>Cie27</b:Tag>
    <b:SourceType>ArticleInAPeriodical</b:SourceType>
    <b:Guid>{C84E3CA3-D8AE-442B-92B8-3E56871EC3CF}</b:Guid>
    <b:Title>Depression and diabetes: impact of depressive symptoms on adherence, function, and costs.</b:Title>
    <b:Year>2000 Nov 27</b:Year>
    <b:Author>
      <b:Author>
        <b:NameList>
          <b:Person>
            <b:Last>Ciechanowski PS</b:Last>
            <b:First>Katon</b:First>
            <b:Middle>WJ, Russo JE.</b:Middle>
          </b:Person>
        </b:NameList>
      </b:Author>
    </b:Author>
    <b:PeriodicalTitle>Arch Intern Med</b:PeriodicalTitle>
    <b:Edition>160</b:Edition>
    <b:Volume>(21)</b:Volume>
    <b:Pages>3278-85</b:Pages>
    <b:RefOrder>10</b:RefOrder>
  </b:Source>
  <b:Source>
    <b:Tag>Kes18</b:Tag>
    <b:SourceType>ArticleInAPeriodical</b:SourceType>
    <b:Guid>{729AA10C-6F99-416B-9520-41CF4F132FC2}</b:Guid>
    <b:Author>
      <b:Author>
        <b:NameList>
          <b:Person>
            <b:Last>Kessler RC1</b:Last>
            <b:First>Berglund</b:First>
            <b:Middle>P, Demler O, Jin R, Koretz D, Merikangas KR, Rush AJ, Walters EE, Wang PS</b:Middle>
          </b:Person>
          <b:Person>
            <b:Last>Replication</b:Last>
            <b:First>National</b:First>
            <b:Middle>Comorbidity Survey</b:Middle>
          </b:Person>
        </b:NameList>
      </b:Author>
    </b:Author>
    <b:Title>The epidemiology of major depressive disorder: results from the National Comorbidity Survey Replication (NCS-R)</b:Title>
    <b:PeriodicalTitle>JAMA</b:PeriodicalTitle>
    <b:Year>2003 Jun 18</b:Year>
    <b:Edition>289</b:Edition>
    <b:Volume>(23)</b:Volume>
    <b:Pages>3095-105</b:Pages>
    <b:RefOrder>11</b:RefOrder>
  </b:Source>
  <b:Source>
    <b:Tag>KKr03</b:Tag>
    <b:SourceType>ArticleInAPeriodical</b:SourceType>
    <b:Guid>{2BC901B0-7134-4940-A3E9-95EC9B358FEF}</b:Guid>
    <b:Author>
      <b:Author>
        <b:NameList>
          <b:Person>
            <b:Last>K</b:Last>
            <b:First>Kroenke</b:First>
          </b:Person>
        </b:NameList>
      </b:Author>
    </b:Author>
    <b:Title>Patients presenting with somatic complaints: epidemiology, psychiatric comorbidity and management.</b:Title>
    <b:PeriodicalTitle>Int J Methods Psychiatr Res</b:PeriodicalTitle>
    <b:Year>2003</b:Year>
    <b:Edition>12</b:Edition>
    <b:Volume>1</b:Volume>
    <b:Pages>34-43</b:Pages>
    <b:RefOrder>12</b:RefOrder>
  </b:Source>
  <b:Source>
    <b:Tag>Nat16</b:Tag>
    <b:SourceType>InternetSite</b:SourceType>
    <b:Guid>{B05CB1AD-5A92-43A8-ACC8-2FFECB976881}</b:Guid>
    <b:Title>FastStats Homepage Depression </b:Title>
    <b:Year>2016</b:Year>
    <b:Author>
      <b:Author>
        <b:NameList>
          <b:Person>
            <b:Last>Statistics</b:Last>
            <b:First>National</b:First>
            <b:Middle>Center for Health</b:Middle>
          </b:Person>
        </b:NameList>
      </b:Author>
    </b:Author>
    <b:InternetSiteTitle>Centers for Disease Control and Prevention</b:InternetSiteTitle>
    <b:Month>April </b:Month>
    <b:URL>http://www.cdc.gov/nchs/fastats/depression.htm </b:URL>
    <b:RefOrder>13</b:RefOrder>
  </b:Source>
  <b:Source>
    <b:Tag>Ins06</b:Tag>
    <b:SourceType>Book</b:SourceType>
    <b:Guid>{6FF6FF96-C4C3-4E63-AB62-0E88F604B2F2}</b:Guid>
    <b:Title>Improving the Quality of Health Care for Mental and Substance-Use Conditions</b:Title>
    <b:Year>2006</b:Year>
    <b:Author>
      <b:Author>
        <b:NameList>
          <b:Person>
            <b:Last>Disorders.</b:Last>
            <b:First>Institute</b:First>
            <b:Middle>of Medicine (US) Committee on Crossing the Quality Chasm: Adaptation to Mental Health and Addictive</b:Middle>
          </b:Person>
        </b:NameList>
      </b:Author>
    </b:Author>
    <b:City>Washington DC</b:City>
    <b:Publisher>National Academies Press</b:Publisher>
    <b:RefOrder>14</b:RefOrder>
  </b:Source>
  <b:Source>
    <b:Tag>Gar</b:Tag>
    <b:SourceType>JournalArticle</b:SourceType>
    <b:Guid>{0DAB38B8-4496-430C-B508-DD2B63EF22A3}</b:Guid>
    <b:Title>Time to Remission for Depression with Collaborative Care Management (CCM) in Primary Care.</b:Title>
    <b:Publisher>J Am Board Fam Med. 2016 Jan-Feb;29(1):10-7</b:Publisher>
    <b:Author>
      <b:Author>
        <b:NameList>
          <b:Person>
            <b:Last>Garrison GM</b:Last>
            <b:First>Angstman</b:First>
            <b:Middle>KB, O'Connor SS, Williams MD, Lineberry TW.</b:Middle>
          </b:Person>
        </b:NameList>
      </b:Author>
    </b:Author>
    <b:RefOrder>15</b:RefOrder>
  </b:Source>
  <b:Source>
    <b:Tag>Kes</b:Tag>
    <b:SourceType>JournalArticle</b:SourceType>
    <b:Guid>{4FBE7F09-D905-4676-B959-D982D9887252}</b:Guid>
    <b:Author>
      <b:Author>
        <b:NameList>
          <b:Person>
            <b:Last>Kessler RC</b:Last>
            <b:First>Wang</b:First>
            <b:Middle>PS.</b:Middle>
          </b:Person>
        </b:NameList>
      </b:Author>
    </b:Author>
    <b:Title>The descriptive epidemiology of commonly occurring mental disorders in the United States.</b:Title>
    <b:City>Annu Rev Public Health. 2008;29:115-29</b:City>
    <b:RefOrder>16</b:RefOrder>
  </b:Source>
</b:Sources>
</file>

<file path=customXml/itemProps1.xml><?xml version="1.0" encoding="utf-8"?>
<ds:datastoreItem xmlns:ds="http://schemas.openxmlformats.org/officeDocument/2006/customXml" ds:itemID="{3F41FC81-5298-4534-853C-F3E2A2FE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14</Pages>
  <Words>4855</Words>
  <Characters>27917</Characters>
  <Application>Microsoft Office Word</Application>
  <DocSecurity>0</DocSecurity>
  <Lines>498</Lines>
  <Paragraphs>262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Ginny Weir</dc:creator>
  <cp:keywords/>
  <dc:description/>
  <cp:lastModifiedBy>Ginny Weir</cp:lastModifiedBy>
  <cp:revision>53</cp:revision>
  <cp:lastPrinted>2017-06-26T21:14:00Z</cp:lastPrinted>
  <dcterms:created xsi:type="dcterms:W3CDTF">2019-05-16T17:31:00Z</dcterms:created>
  <dcterms:modified xsi:type="dcterms:W3CDTF">2019-06-19T21:31:00Z</dcterms:modified>
</cp:coreProperties>
</file>