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93C70C" w14:textId="799EAD2A" w:rsidR="00E024DB" w:rsidRDefault="00E024DB" w:rsidP="00E024DB">
      <w:pPr>
        <w:rPr>
          <w:sz w:val="13"/>
        </w:rPr>
      </w:pPr>
      <w:r>
        <w:rPr>
          <w:noProof/>
          <w:sz w:val="13"/>
        </w:rPr>
        <mc:AlternateContent>
          <mc:Choice Requires="wps">
            <w:drawing>
              <wp:anchor distT="0" distB="0" distL="114300" distR="114300" simplePos="0" relativeHeight="251660288" behindDoc="0" locked="0" layoutInCell="1" allowOverlap="1" wp14:anchorId="09EECCDA" wp14:editId="0450FCEC">
                <wp:simplePos x="0" y="0"/>
                <wp:positionH relativeFrom="column">
                  <wp:posOffset>4226118</wp:posOffset>
                </wp:positionH>
                <wp:positionV relativeFrom="paragraph">
                  <wp:posOffset>104361</wp:posOffset>
                </wp:positionV>
                <wp:extent cx="2728912" cy="1113182"/>
                <wp:effectExtent l="0" t="0" r="0" b="0"/>
                <wp:wrapNone/>
                <wp:docPr id="1" name="Text Box 1"/>
                <wp:cNvGraphicFramePr/>
                <a:graphic xmlns:a="http://schemas.openxmlformats.org/drawingml/2006/main">
                  <a:graphicData uri="http://schemas.microsoft.com/office/word/2010/wordprocessingShape">
                    <wps:wsp>
                      <wps:cNvSpPr txBox="1"/>
                      <wps:spPr>
                        <a:xfrm>
                          <a:off x="0" y="0"/>
                          <a:ext cx="2728912" cy="1113182"/>
                        </a:xfrm>
                        <a:prstGeom prst="rect">
                          <a:avLst/>
                        </a:prstGeom>
                        <a:noFill/>
                        <a:ln w="6350">
                          <a:noFill/>
                        </a:ln>
                      </wps:spPr>
                      <wps:txbx>
                        <w:txbxContent>
                          <w:p w14:paraId="3BA98509" w14:textId="7B2938BE" w:rsidR="00E024DB" w:rsidRPr="006E0F64" w:rsidRDefault="006E5E3A" w:rsidP="00E024DB">
                            <w:pPr>
                              <w:jc w:val="right"/>
                              <w:rPr>
                                <w:rFonts w:ascii="Century Gothic" w:hAnsi="Century Gothic"/>
                                <w:b/>
                                <w:color w:val="D5DCE4" w:themeColor="text2" w:themeTint="33"/>
                                <w:sz w:val="100"/>
                                <w:szCs w:val="100"/>
                              </w:rPr>
                            </w:pPr>
                            <w:r>
                              <w:rPr>
                                <w:rFonts w:ascii="Century Gothic" w:hAnsi="Century Gothic"/>
                                <w:b/>
                                <w:noProof/>
                                <w:color w:val="D5DCE4" w:themeColor="text2" w:themeTint="33"/>
                                <w:sz w:val="100"/>
                                <w:szCs w:val="100"/>
                              </w:rPr>
                              <w:drawing>
                                <wp:inline distT="0" distB="0" distL="0" distR="0" wp14:anchorId="2480FA32" wp14:editId="47477607">
                                  <wp:extent cx="1487419" cy="956372"/>
                                  <wp:effectExtent l="0" t="0" r="0" b="0"/>
                                  <wp:docPr id="122175255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52555" name="Picture 2"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1786" cy="96561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ECCDA" id="_x0000_t202" coordsize="21600,21600" o:spt="202" path="m,l,21600r21600,l21600,xe">
                <v:stroke joinstyle="miter"/>
                <v:path gradientshapeok="t" o:connecttype="rect"/>
              </v:shapetype>
              <v:shape id="Text Box 1" o:spid="_x0000_s1026" type="#_x0000_t202" style="position:absolute;margin-left:332.75pt;margin-top:8.2pt;width:214.85pt;height:8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" filled="f" stroked="f" strokeweight=".5pt">
                <v:textbox>
                  <w:txbxContent>
                    <w:p w14:paraId="3BA98509" w14:textId="7B2938BE" w:rsidR="00E024DB" w:rsidRPr="006E0F64" w:rsidRDefault="006E5E3A" w:rsidP="00E024DB">
                      <w:pPr>
                        <w:jc w:val="right"/>
                        <w:rPr>
                          <w:rFonts w:ascii="Century Gothic" w:hAnsi="Century Gothic"/>
                          <w:b/>
                          <w:color w:val="D5DCE4" w:themeColor="text2" w:themeTint="33"/>
                          <w:sz w:val="100"/>
                          <w:szCs w:val="100"/>
                        </w:rPr>
                      </w:pPr>
                      <w:r>
                        <w:rPr>
                          <w:rFonts w:ascii="Century Gothic" w:hAnsi="Century Gothic"/>
                          <w:b/>
                          <w:noProof/>
                          <w:color w:val="D5DCE4" w:themeColor="text2" w:themeTint="33"/>
                          <w:sz w:val="100"/>
                          <w:szCs w:val="100"/>
                        </w:rPr>
                        <w:drawing>
                          <wp:inline distT="0" distB="0" distL="0" distR="0" wp14:anchorId="2480FA32" wp14:editId="47477607">
                            <wp:extent cx="1487419" cy="956372"/>
                            <wp:effectExtent l="0" t="0" r="0" b="0"/>
                            <wp:docPr id="1221752555" name="Picture 2"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752555" name="Picture 2" descr="A logo for a company&#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01786" cy="965610"/>
                                    </a:xfrm>
                                    <a:prstGeom prst="rect">
                                      <a:avLst/>
                                    </a:prstGeom>
                                  </pic:spPr>
                                </pic:pic>
                              </a:graphicData>
                            </a:graphic>
                          </wp:inline>
                        </w:drawing>
                      </w:r>
                    </w:p>
                  </w:txbxContent>
                </v:textbox>
              </v:shape>
            </w:pict>
          </mc:Fallback>
        </mc:AlternateContent>
      </w:r>
    </w:p>
    <w:tbl>
      <w:tblPr>
        <w:tblW w:w="6390" w:type="dxa"/>
        <w:tblInd w:w="8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55"/>
        <w:gridCol w:w="5135"/>
      </w:tblGrid>
      <w:tr w:rsidR="00E024DB" w:rsidRPr="00756B3B" w14:paraId="191D116F" w14:textId="77777777" w:rsidTr="00273452">
        <w:trPr>
          <w:trHeight w:val="432"/>
        </w:trPr>
        <w:tc>
          <w:tcPr>
            <w:tcW w:w="1255" w:type="dxa"/>
            <w:shd w:val="clear" w:color="auto" w:fill="EAEEF3"/>
            <w:noWrap/>
            <w:vAlign w:val="center"/>
            <w:hideMark/>
          </w:tcPr>
          <w:p w14:paraId="5247EF79"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DATE</w:t>
            </w:r>
          </w:p>
        </w:tc>
        <w:tc>
          <w:tcPr>
            <w:tcW w:w="5135" w:type="dxa"/>
            <w:shd w:val="clear" w:color="auto" w:fill="auto"/>
            <w:noWrap/>
            <w:vAlign w:val="center"/>
          </w:tcPr>
          <w:p w14:paraId="2CBAE62D" w14:textId="143D8A36" w:rsidR="00E024DB" w:rsidRPr="006E0F64" w:rsidRDefault="00034535" w:rsidP="00071B9A">
            <w:pPr>
              <w:rPr>
                <w:rFonts w:ascii="Century Gothic" w:hAnsi="Century Gothic"/>
                <w:color w:val="000000"/>
                <w:sz w:val="18"/>
                <w:szCs w:val="16"/>
              </w:rPr>
            </w:pPr>
            <w:r>
              <w:rPr>
                <w:rFonts w:ascii="Century Gothic" w:hAnsi="Century Gothic"/>
                <w:color w:val="000000"/>
                <w:sz w:val="18"/>
                <w:szCs w:val="16"/>
              </w:rPr>
              <w:t>July 17</w:t>
            </w:r>
            <w:r w:rsidRPr="00034535">
              <w:rPr>
                <w:rFonts w:ascii="Century Gothic" w:hAnsi="Century Gothic"/>
                <w:color w:val="000000"/>
                <w:sz w:val="18"/>
                <w:szCs w:val="16"/>
                <w:vertAlign w:val="superscript"/>
              </w:rPr>
              <w:t>th</w:t>
            </w:r>
            <w:r>
              <w:rPr>
                <w:rFonts w:ascii="Century Gothic" w:hAnsi="Century Gothic"/>
                <w:color w:val="000000"/>
                <w:sz w:val="18"/>
                <w:szCs w:val="16"/>
              </w:rPr>
              <w:t>, 2024</w:t>
            </w:r>
          </w:p>
        </w:tc>
      </w:tr>
      <w:tr w:rsidR="00E024DB" w:rsidRPr="00756B3B" w14:paraId="4191B25F" w14:textId="77777777" w:rsidTr="00273452">
        <w:trPr>
          <w:trHeight w:val="432"/>
        </w:trPr>
        <w:tc>
          <w:tcPr>
            <w:tcW w:w="1255" w:type="dxa"/>
            <w:shd w:val="clear" w:color="auto" w:fill="EAEEF3"/>
            <w:noWrap/>
            <w:vAlign w:val="center"/>
            <w:hideMark/>
          </w:tcPr>
          <w:p w14:paraId="0B3294F0" w14:textId="0BEEA8FD" w:rsidR="00E024DB" w:rsidRPr="006600E3" w:rsidRDefault="008B2DAD" w:rsidP="006600E3">
            <w:pPr>
              <w:jc w:val="right"/>
              <w:rPr>
                <w:rFonts w:ascii="Century Gothic" w:hAnsi="Century Gothic"/>
                <w:color w:val="404040" w:themeColor="text1" w:themeTint="BF"/>
                <w:szCs w:val="16"/>
              </w:rPr>
            </w:pPr>
            <w:r>
              <w:rPr>
                <w:rFonts w:ascii="Century Gothic" w:hAnsi="Century Gothic"/>
                <w:color w:val="404040" w:themeColor="text1" w:themeTint="BF"/>
                <w:szCs w:val="16"/>
              </w:rPr>
              <w:t>AUTHOR(S)</w:t>
            </w:r>
          </w:p>
        </w:tc>
        <w:tc>
          <w:tcPr>
            <w:tcW w:w="5135" w:type="dxa"/>
            <w:shd w:val="clear" w:color="auto" w:fill="auto"/>
            <w:noWrap/>
            <w:vAlign w:val="center"/>
          </w:tcPr>
          <w:p w14:paraId="2E8864D9" w14:textId="3B57E395" w:rsidR="00E024DB" w:rsidRPr="006E0F64" w:rsidRDefault="008B2DAD" w:rsidP="00071B9A">
            <w:pPr>
              <w:rPr>
                <w:rFonts w:ascii="Century Gothic" w:hAnsi="Century Gothic"/>
                <w:color w:val="000000"/>
                <w:sz w:val="18"/>
                <w:szCs w:val="16"/>
              </w:rPr>
            </w:pPr>
            <w:r>
              <w:rPr>
                <w:rFonts w:ascii="Century Gothic" w:hAnsi="Century Gothic"/>
                <w:color w:val="000000"/>
                <w:sz w:val="18"/>
                <w:szCs w:val="16"/>
              </w:rPr>
              <w:t>Karie Nicholas, M.A., G.Dip.</w:t>
            </w:r>
          </w:p>
        </w:tc>
      </w:tr>
      <w:tr w:rsidR="00E024DB" w:rsidRPr="00756B3B" w14:paraId="382ED826" w14:textId="77777777" w:rsidTr="00273452">
        <w:trPr>
          <w:trHeight w:val="432"/>
        </w:trPr>
        <w:tc>
          <w:tcPr>
            <w:tcW w:w="1255" w:type="dxa"/>
            <w:shd w:val="clear" w:color="auto" w:fill="EAEEF3"/>
            <w:noWrap/>
            <w:vAlign w:val="center"/>
            <w:hideMark/>
          </w:tcPr>
          <w:p w14:paraId="0D74C2AD" w14:textId="77777777" w:rsidR="00E024DB" w:rsidRPr="006600E3" w:rsidRDefault="00E024DB" w:rsidP="006600E3">
            <w:pPr>
              <w:jc w:val="right"/>
              <w:rPr>
                <w:rFonts w:ascii="Century Gothic" w:hAnsi="Century Gothic"/>
                <w:color w:val="404040" w:themeColor="text1" w:themeTint="BF"/>
                <w:szCs w:val="16"/>
              </w:rPr>
            </w:pPr>
            <w:r w:rsidRPr="006600E3">
              <w:rPr>
                <w:rFonts w:ascii="Century Gothic" w:hAnsi="Century Gothic"/>
                <w:color w:val="404040" w:themeColor="text1" w:themeTint="BF"/>
                <w:szCs w:val="16"/>
              </w:rPr>
              <w:t>TITLE / ROLE</w:t>
            </w:r>
          </w:p>
        </w:tc>
        <w:tc>
          <w:tcPr>
            <w:tcW w:w="5135" w:type="dxa"/>
            <w:shd w:val="clear" w:color="auto" w:fill="auto"/>
            <w:noWrap/>
            <w:vAlign w:val="center"/>
          </w:tcPr>
          <w:p w14:paraId="535D2A5B" w14:textId="67D90E8A" w:rsidR="00E024DB" w:rsidRPr="006E0F64" w:rsidRDefault="00034535" w:rsidP="00071B9A">
            <w:pPr>
              <w:rPr>
                <w:rFonts w:ascii="Century Gothic" w:hAnsi="Century Gothic"/>
                <w:color w:val="000000"/>
                <w:sz w:val="18"/>
                <w:szCs w:val="16"/>
              </w:rPr>
            </w:pPr>
            <w:r>
              <w:rPr>
                <w:rFonts w:ascii="Century Gothic" w:hAnsi="Century Gothic"/>
                <w:color w:val="000000"/>
                <w:sz w:val="18"/>
                <w:szCs w:val="16"/>
              </w:rPr>
              <w:t>Barriers to implementation of the Bree Collaborative Guidelines</w:t>
            </w:r>
          </w:p>
        </w:tc>
      </w:tr>
      <w:tr w:rsidR="008F07DB" w:rsidRPr="00756B3B" w14:paraId="0F757EDC" w14:textId="77777777" w:rsidTr="00273452">
        <w:trPr>
          <w:trHeight w:val="432"/>
        </w:trPr>
        <w:tc>
          <w:tcPr>
            <w:tcW w:w="1255" w:type="dxa"/>
            <w:shd w:val="clear" w:color="auto" w:fill="EAEEF3"/>
            <w:noWrap/>
            <w:vAlign w:val="center"/>
          </w:tcPr>
          <w:p w14:paraId="6E957EC9" w14:textId="41F7ADC5" w:rsidR="008F07DB" w:rsidRPr="006600E3" w:rsidRDefault="008F07DB" w:rsidP="006600E3">
            <w:pPr>
              <w:jc w:val="right"/>
              <w:rPr>
                <w:rFonts w:ascii="Century Gothic" w:hAnsi="Century Gothic"/>
                <w:color w:val="404040" w:themeColor="text1" w:themeTint="BF"/>
                <w:szCs w:val="16"/>
              </w:rPr>
            </w:pPr>
            <w:r>
              <w:rPr>
                <w:rFonts w:ascii="Century Gothic" w:hAnsi="Century Gothic"/>
                <w:color w:val="404040" w:themeColor="text1" w:themeTint="BF"/>
                <w:szCs w:val="16"/>
              </w:rPr>
              <w:t>PAGES</w:t>
            </w:r>
          </w:p>
        </w:tc>
        <w:tc>
          <w:tcPr>
            <w:tcW w:w="5135" w:type="dxa"/>
            <w:shd w:val="clear" w:color="auto" w:fill="auto"/>
            <w:noWrap/>
            <w:vAlign w:val="center"/>
          </w:tcPr>
          <w:p w14:paraId="782DC899" w14:textId="55D22526" w:rsidR="008F07DB" w:rsidRDefault="008F07DB" w:rsidP="00071B9A">
            <w:pPr>
              <w:rPr>
                <w:rFonts w:ascii="Century Gothic" w:hAnsi="Century Gothic"/>
                <w:color w:val="000000"/>
                <w:sz w:val="18"/>
                <w:szCs w:val="16"/>
              </w:rPr>
            </w:pPr>
            <w:r>
              <w:rPr>
                <w:rFonts w:ascii="Century Gothic" w:hAnsi="Century Gothic"/>
                <w:color w:val="000000"/>
                <w:sz w:val="18"/>
                <w:szCs w:val="16"/>
              </w:rPr>
              <w:t>6</w:t>
            </w:r>
          </w:p>
        </w:tc>
      </w:tr>
    </w:tbl>
    <w:p w14:paraId="782703A4" w14:textId="7F2426D7" w:rsidR="00E024DB" w:rsidRPr="00273452" w:rsidRDefault="00E024DB" w:rsidP="00E024DB">
      <w:pPr>
        <w:rPr>
          <w:rFonts w:ascii="Century Gothic" w:hAnsi="Century Gothic"/>
          <w:sz w:val="20"/>
          <w:szCs w:val="40"/>
        </w:rPr>
      </w:pPr>
    </w:p>
    <w:tbl>
      <w:tblPr>
        <w:tblStyle w:val="TableGrid"/>
        <w:tblW w:w="11286" w:type="dxa"/>
        <w:tblInd w:w="90" w:type="dxa"/>
        <w:tblLook w:val="04A0" w:firstRow="1" w:lastRow="0" w:firstColumn="1" w:lastColumn="0" w:noHBand="0" w:noVBand="1"/>
      </w:tblPr>
      <w:tblGrid>
        <w:gridCol w:w="11286"/>
      </w:tblGrid>
      <w:tr w:rsidR="00FE4C03" w:rsidRPr="00325569" w14:paraId="66CDF590" w14:textId="77777777" w:rsidTr="002527E1">
        <w:trPr>
          <w:trHeight w:val="504"/>
        </w:trPr>
        <w:tc>
          <w:tcPr>
            <w:tcW w:w="11286" w:type="dxa"/>
            <w:tcBorders>
              <w:top w:val="nil"/>
              <w:left w:val="nil"/>
              <w:bottom w:val="nil"/>
              <w:right w:val="nil"/>
            </w:tcBorders>
            <w:shd w:val="clear" w:color="auto" w:fill="auto"/>
            <w:vAlign w:val="bottom"/>
          </w:tcPr>
          <w:p w14:paraId="6B423A92" w14:textId="1DE763AB" w:rsidR="00FE4C03" w:rsidRPr="006600E3" w:rsidRDefault="00A50AFF" w:rsidP="006600E3">
            <w:pPr>
              <w:pStyle w:val="p1"/>
              <w:ind w:left="-105"/>
              <w:rPr>
                <w:rFonts w:ascii="Century Gothic" w:hAnsi="Century Gothic"/>
                <w:bCs/>
                <w:color w:val="404040" w:themeColor="text1" w:themeTint="BF"/>
                <w:sz w:val="28"/>
                <w:szCs w:val="28"/>
              </w:rPr>
            </w:pPr>
            <w:r>
              <w:rPr>
                <w:rFonts w:ascii="Century Gothic" w:hAnsi="Century Gothic"/>
                <w:bCs/>
                <w:color w:val="2E74B5" w:themeColor="accent5" w:themeShade="BF"/>
                <w:sz w:val="28"/>
                <w:szCs w:val="28"/>
              </w:rPr>
              <w:t>INTRODUCTION</w:t>
            </w:r>
          </w:p>
        </w:tc>
      </w:tr>
      <w:tr w:rsidR="00FE4C03" w:rsidRPr="00CB70B7" w14:paraId="25EBE0E8" w14:textId="77777777" w:rsidTr="002527E1">
        <w:trPr>
          <w:trHeight w:val="810"/>
        </w:trPr>
        <w:tc>
          <w:tcPr>
            <w:tcW w:w="11286"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527F57" w14:textId="5A3CEDE4" w:rsidR="00FE4C03" w:rsidRPr="00691836" w:rsidRDefault="008B7E2E" w:rsidP="00901D4C">
            <w:pPr>
              <w:pStyle w:val="p1"/>
              <w:rPr>
                <w:rFonts w:ascii="Century Gothic" w:hAnsi="Century Gothic"/>
                <w:color w:val="auto"/>
                <w:sz w:val="20"/>
                <w:szCs w:val="20"/>
              </w:rPr>
            </w:pPr>
            <w:r w:rsidRPr="00691836">
              <w:rPr>
                <w:rFonts w:ascii="Century Gothic" w:hAnsi="Century Gothic"/>
                <w:color w:val="auto"/>
                <w:sz w:val="20"/>
                <w:szCs w:val="20"/>
              </w:rPr>
              <w:t xml:space="preserve">In 2023 the Bree Collaborative launched two different </w:t>
            </w:r>
            <w:r w:rsidR="00691836" w:rsidRPr="00691836">
              <w:rPr>
                <w:rFonts w:ascii="Century Gothic" w:hAnsi="Century Gothic"/>
                <w:color w:val="auto"/>
                <w:sz w:val="20"/>
                <w:szCs w:val="20"/>
              </w:rPr>
              <w:t xml:space="preserve">methods for collecting data on barriers and facilitators to the implementation of the Bree Collaborative Guidelines. </w:t>
            </w:r>
          </w:p>
        </w:tc>
      </w:tr>
      <w:tr w:rsidR="00FE4C03" w:rsidRPr="00325569" w14:paraId="4B17F3E7" w14:textId="77777777" w:rsidTr="002527E1">
        <w:trPr>
          <w:trHeight w:val="715"/>
        </w:trPr>
        <w:tc>
          <w:tcPr>
            <w:tcW w:w="11286" w:type="dxa"/>
            <w:tcBorders>
              <w:top w:val="single" w:sz="4" w:space="0" w:color="BFBFBF" w:themeColor="background1" w:themeShade="BF"/>
              <w:left w:val="nil"/>
              <w:bottom w:val="nil"/>
              <w:right w:val="nil"/>
            </w:tcBorders>
            <w:shd w:val="clear" w:color="auto" w:fill="auto"/>
            <w:vAlign w:val="center"/>
          </w:tcPr>
          <w:p w14:paraId="651FF5E0" w14:textId="77777777" w:rsidR="00FE4C03" w:rsidRDefault="00FE4C03" w:rsidP="00901D4C">
            <w:pPr>
              <w:pStyle w:val="p1"/>
              <w:ind w:left="-100"/>
              <w:rPr>
                <w:rFonts w:ascii="Century Gothic" w:hAnsi="Century Gothic"/>
                <w:b/>
                <w:color w:val="000000" w:themeColor="text1"/>
                <w:sz w:val="18"/>
                <w:szCs w:val="18"/>
              </w:rPr>
            </w:pPr>
          </w:p>
          <w:p w14:paraId="2C6F763E" w14:textId="67C5723B" w:rsidR="00FE4C03" w:rsidRPr="00325569" w:rsidRDefault="00A50AFF" w:rsidP="00901D4C">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METHODS</w:t>
            </w:r>
          </w:p>
        </w:tc>
      </w:tr>
      <w:tr w:rsidR="00FE4C03" w:rsidRPr="00CB70B7" w14:paraId="76BA3BFE" w14:textId="77777777" w:rsidTr="002527E1">
        <w:trPr>
          <w:trHeight w:val="900"/>
        </w:trPr>
        <w:tc>
          <w:tcPr>
            <w:tcW w:w="11286"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ECA5C4" w14:textId="2875637F" w:rsidR="0040080A" w:rsidRDefault="0040080A" w:rsidP="00901D4C">
            <w:pPr>
              <w:pStyle w:val="p1"/>
              <w:rPr>
                <w:rFonts w:ascii="Century Gothic" w:hAnsi="Century Gothic"/>
                <w:color w:val="000000" w:themeColor="text1"/>
                <w:sz w:val="20"/>
                <w:szCs w:val="18"/>
              </w:rPr>
            </w:pPr>
            <w:r>
              <w:rPr>
                <w:rFonts w:ascii="Century Gothic" w:hAnsi="Century Gothic"/>
                <w:color w:val="000000" w:themeColor="text1"/>
                <w:sz w:val="20"/>
                <w:szCs w:val="18"/>
              </w:rPr>
              <w:t>Score cards were sent out to selected organizations</w:t>
            </w:r>
            <w:r w:rsidR="0063124D">
              <w:rPr>
                <w:rFonts w:ascii="Century Gothic" w:hAnsi="Century Gothic"/>
                <w:color w:val="000000" w:themeColor="text1"/>
                <w:sz w:val="20"/>
                <w:szCs w:val="18"/>
              </w:rPr>
              <w:t xml:space="preserve"> via email</w:t>
            </w:r>
            <w:r w:rsidR="00676EF4">
              <w:rPr>
                <w:rFonts w:ascii="Century Gothic" w:hAnsi="Century Gothic"/>
                <w:color w:val="000000" w:themeColor="text1"/>
                <w:sz w:val="20"/>
                <w:szCs w:val="18"/>
              </w:rPr>
              <w:t xml:space="preserve"> as part of the Bree’s 2023 “look back” evaluation.</w:t>
            </w:r>
          </w:p>
          <w:p w14:paraId="02B961D5" w14:textId="1EDDF36E" w:rsidR="0040080A" w:rsidRDefault="00676EF4" w:rsidP="00901D4C">
            <w:pPr>
              <w:pStyle w:val="p1"/>
              <w:rPr>
                <w:rFonts w:ascii="Century Gothic" w:hAnsi="Century Gothic"/>
                <w:color w:val="000000" w:themeColor="text1"/>
                <w:sz w:val="20"/>
                <w:szCs w:val="18"/>
              </w:rPr>
            </w:pPr>
            <w:r>
              <w:rPr>
                <w:rFonts w:ascii="Century Gothic" w:hAnsi="Century Gothic"/>
                <w:color w:val="000000" w:themeColor="text1"/>
                <w:sz w:val="20"/>
                <w:szCs w:val="18"/>
              </w:rPr>
              <w:t>The s</w:t>
            </w:r>
            <w:r w:rsidR="0040080A">
              <w:rPr>
                <w:rFonts w:ascii="Century Gothic" w:hAnsi="Century Gothic"/>
                <w:color w:val="000000" w:themeColor="text1"/>
                <w:sz w:val="20"/>
                <w:szCs w:val="18"/>
              </w:rPr>
              <w:t>urvey was posted on the Bree collaborative website</w:t>
            </w:r>
            <w:r>
              <w:rPr>
                <w:rFonts w:ascii="Century Gothic" w:hAnsi="Century Gothic"/>
                <w:color w:val="000000" w:themeColor="text1"/>
                <w:sz w:val="20"/>
                <w:szCs w:val="18"/>
              </w:rPr>
              <w:t xml:space="preserve"> and social media</w:t>
            </w:r>
            <w:r w:rsidR="0040080A">
              <w:rPr>
                <w:rFonts w:ascii="Century Gothic" w:hAnsi="Century Gothic"/>
                <w:color w:val="000000" w:themeColor="text1"/>
                <w:sz w:val="20"/>
                <w:szCs w:val="18"/>
              </w:rPr>
              <w:t xml:space="preserve"> and sent out to </w:t>
            </w:r>
            <w:r w:rsidR="00226E18">
              <w:rPr>
                <w:rFonts w:ascii="Century Gothic" w:hAnsi="Century Gothic"/>
                <w:color w:val="000000" w:themeColor="text1"/>
                <w:sz w:val="20"/>
                <w:szCs w:val="18"/>
              </w:rPr>
              <w:t>select organizations</w:t>
            </w:r>
            <w:r>
              <w:rPr>
                <w:rFonts w:ascii="Century Gothic" w:hAnsi="Century Gothic"/>
                <w:color w:val="000000" w:themeColor="text1"/>
                <w:sz w:val="20"/>
                <w:szCs w:val="18"/>
              </w:rPr>
              <w:t xml:space="preserve"> via email. </w:t>
            </w:r>
          </w:p>
          <w:p w14:paraId="02601D1A" w14:textId="281BEF8D" w:rsidR="006D3169" w:rsidRDefault="006D3169" w:rsidP="00901D4C">
            <w:pPr>
              <w:pStyle w:val="p1"/>
              <w:rPr>
                <w:rFonts w:ascii="Century Gothic" w:hAnsi="Century Gothic"/>
                <w:color w:val="000000" w:themeColor="text1"/>
                <w:sz w:val="20"/>
                <w:szCs w:val="18"/>
              </w:rPr>
            </w:pPr>
          </w:p>
          <w:p w14:paraId="50A6C054" w14:textId="4D907187" w:rsidR="006D3169" w:rsidRDefault="006D3169" w:rsidP="00901D4C">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Organizations were selected to receive both the survey </w:t>
            </w:r>
            <w:r w:rsidR="009B0EDA">
              <w:rPr>
                <w:rFonts w:ascii="Century Gothic" w:hAnsi="Century Gothic"/>
                <w:color w:val="000000" w:themeColor="text1"/>
                <w:sz w:val="20"/>
                <w:szCs w:val="18"/>
              </w:rPr>
              <w:t xml:space="preserve">and the score cards if they are part of the Bree Collaborative or if any of their staff had </w:t>
            </w:r>
            <w:r w:rsidR="009C58B4">
              <w:rPr>
                <w:rFonts w:ascii="Century Gothic" w:hAnsi="Century Gothic"/>
                <w:color w:val="000000" w:themeColor="text1"/>
                <w:sz w:val="20"/>
                <w:szCs w:val="18"/>
              </w:rPr>
              <w:t xml:space="preserve">attended a Bree Collaborative event. </w:t>
            </w:r>
          </w:p>
          <w:p w14:paraId="06063C51" w14:textId="77777777" w:rsidR="0040080A" w:rsidRDefault="0040080A" w:rsidP="00901D4C">
            <w:pPr>
              <w:pStyle w:val="p1"/>
              <w:rPr>
                <w:rFonts w:ascii="Century Gothic" w:hAnsi="Century Gothic"/>
                <w:color w:val="000000" w:themeColor="text1"/>
                <w:sz w:val="20"/>
                <w:szCs w:val="18"/>
              </w:rPr>
            </w:pPr>
          </w:p>
          <w:p w14:paraId="5F394C83" w14:textId="1C461219" w:rsidR="00FE4C03" w:rsidRDefault="007726F0" w:rsidP="00901D4C">
            <w:pPr>
              <w:pStyle w:val="p1"/>
              <w:rPr>
                <w:rFonts w:ascii="Century Gothic" w:hAnsi="Century Gothic"/>
                <w:color w:val="000000" w:themeColor="text1"/>
                <w:sz w:val="20"/>
                <w:szCs w:val="18"/>
              </w:rPr>
            </w:pPr>
            <w:r>
              <w:rPr>
                <w:rFonts w:ascii="Century Gothic" w:hAnsi="Century Gothic"/>
                <w:color w:val="000000" w:themeColor="text1"/>
                <w:sz w:val="20"/>
                <w:szCs w:val="18"/>
              </w:rPr>
              <w:t>We used two different methods to capture information about barriers due to technology constraints.</w:t>
            </w:r>
            <w:r w:rsidR="00EB1AB4">
              <w:rPr>
                <w:rFonts w:ascii="Century Gothic" w:hAnsi="Century Gothic"/>
                <w:color w:val="000000" w:themeColor="text1"/>
                <w:sz w:val="20"/>
                <w:szCs w:val="18"/>
              </w:rPr>
              <w:t xml:space="preserve"> The “score card” method asked respondents to </w:t>
            </w:r>
            <w:r w:rsidR="00E17EDD">
              <w:rPr>
                <w:rFonts w:ascii="Century Gothic" w:hAnsi="Century Gothic"/>
                <w:color w:val="000000" w:themeColor="text1"/>
                <w:sz w:val="20"/>
                <w:szCs w:val="18"/>
              </w:rPr>
              <w:t xml:space="preserve">rank a list of </w:t>
            </w:r>
            <w:r w:rsidR="00043117">
              <w:rPr>
                <w:rFonts w:ascii="Century Gothic" w:hAnsi="Century Gothic"/>
                <w:color w:val="000000" w:themeColor="text1"/>
                <w:sz w:val="20"/>
                <w:szCs w:val="18"/>
              </w:rPr>
              <w:t>barriers</w:t>
            </w:r>
            <w:r w:rsidR="00E17EDD">
              <w:rPr>
                <w:rFonts w:ascii="Century Gothic" w:hAnsi="Century Gothic"/>
                <w:color w:val="000000" w:themeColor="text1"/>
                <w:sz w:val="20"/>
                <w:szCs w:val="18"/>
              </w:rPr>
              <w:t xml:space="preserve"> from 1-5 with </w:t>
            </w:r>
            <w:r w:rsidR="00BF49B7">
              <w:rPr>
                <w:rFonts w:ascii="Century Gothic" w:hAnsi="Century Gothic"/>
                <w:color w:val="000000" w:themeColor="text1"/>
                <w:sz w:val="20"/>
                <w:szCs w:val="18"/>
              </w:rPr>
              <w:t>one being the highest and five being the lowest</w:t>
            </w:r>
            <w:r w:rsidR="00145F69">
              <w:rPr>
                <w:rFonts w:ascii="Century Gothic" w:hAnsi="Century Gothic"/>
                <w:color w:val="000000" w:themeColor="text1"/>
                <w:sz w:val="20"/>
                <w:szCs w:val="18"/>
              </w:rPr>
              <w:t xml:space="preserve">. </w:t>
            </w:r>
            <w:r w:rsidR="006D0665">
              <w:rPr>
                <w:rFonts w:ascii="Century Gothic" w:hAnsi="Century Gothic"/>
                <w:color w:val="000000" w:themeColor="text1"/>
                <w:sz w:val="20"/>
                <w:szCs w:val="18"/>
              </w:rPr>
              <w:t xml:space="preserve">To generate the Y axis scores for </w:t>
            </w:r>
            <w:r w:rsidR="002538BE">
              <w:rPr>
                <w:rFonts w:ascii="Century Gothic" w:hAnsi="Century Gothic"/>
                <w:color w:val="000000" w:themeColor="text1"/>
                <w:sz w:val="20"/>
                <w:szCs w:val="18"/>
              </w:rPr>
              <w:t>the “score card method” r</w:t>
            </w:r>
            <w:r w:rsidR="00145F69">
              <w:rPr>
                <w:rFonts w:ascii="Century Gothic" w:hAnsi="Century Gothic"/>
                <w:color w:val="000000" w:themeColor="text1"/>
                <w:sz w:val="20"/>
                <w:szCs w:val="18"/>
              </w:rPr>
              <w:t>anks were</w:t>
            </w:r>
            <w:r w:rsidR="002233A0">
              <w:rPr>
                <w:rFonts w:ascii="Century Gothic" w:hAnsi="Century Gothic"/>
                <w:color w:val="000000" w:themeColor="text1"/>
                <w:sz w:val="20"/>
                <w:szCs w:val="18"/>
              </w:rPr>
              <w:t xml:space="preserve"> then</w:t>
            </w:r>
            <w:r w:rsidR="00145F69">
              <w:rPr>
                <w:rFonts w:ascii="Century Gothic" w:hAnsi="Century Gothic"/>
                <w:color w:val="000000" w:themeColor="text1"/>
                <w:sz w:val="20"/>
                <w:szCs w:val="18"/>
              </w:rPr>
              <w:t xml:space="preserve"> averaged across all respondents</w:t>
            </w:r>
            <w:r w:rsidR="00AD21BA">
              <w:rPr>
                <w:rFonts w:ascii="Century Gothic" w:hAnsi="Century Gothic"/>
                <w:color w:val="000000" w:themeColor="text1"/>
                <w:sz w:val="20"/>
                <w:szCs w:val="18"/>
              </w:rPr>
              <w:t xml:space="preserve"> to create an average score</w:t>
            </w:r>
            <w:r w:rsidR="00DA6D3D">
              <w:rPr>
                <w:rFonts w:ascii="Century Gothic" w:hAnsi="Century Gothic"/>
                <w:color w:val="000000" w:themeColor="text1"/>
                <w:sz w:val="20"/>
                <w:szCs w:val="18"/>
              </w:rPr>
              <w:t xml:space="preserve">. </w:t>
            </w:r>
            <w:r w:rsidR="00D56843">
              <w:rPr>
                <w:rFonts w:ascii="Century Gothic" w:hAnsi="Century Gothic"/>
                <w:color w:val="000000" w:themeColor="text1"/>
                <w:sz w:val="20"/>
                <w:szCs w:val="18"/>
              </w:rPr>
              <w:t>Scores were then w</w:t>
            </w:r>
            <w:r w:rsidR="00AD21BA">
              <w:rPr>
                <w:rFonts w:ascii="Century Gothic" w:hAnsi="Century Gothic"/>
                <w:color w:val="000000" w:themeColor="text1"/>
                <w:sz w:val="20"/>
                <w:szCs w:val="18"/>
              </w:rPr>
              <w:t xml:space="preserve">eighted </w:t>
            </w:r>
            <w:r w:rsidR="00DA6D3D">
              <w:rPr>
                <w:rFonts w:ascii="Century Gothic" w:hAnsi="Century Gothic"/>
                <w:color w:val="000000" w:themeColor="text1"/>
                <w:sz w:val="20"/>
                <w:szCs w:val="18"/>
              </w:rPr>
              <w:t>taking the inverse of the average</w:t>
            </w:r>
            <w:r w:rsidR="00AD21BA">
              <w:rPr>
                <w:rFonts w:ascii="Century Gothic" w:hAnsi="Century Gothic"/>
                <w:color w:val="000000" w:themeColor="text1"/>
                <w:sz w:val="20"/>
                <w:szCs w:val="18"/>
              </w:rPr>
              <w:t xml:space="preserve"> score</w:t>
            </w:r>
            <w:r w:rsidR="00DA6D3D">
              <w:rPr>
                <w:rFonts w:ascii="Century Gothic" w:hAnsi="Century Gothic"/>
                <w:color w:val="000000" w:themeColor="text1"/>
                <w:sz w:val="20"/>
                <w:szCs w:val="18"/>
              </w:rPr>
              <w:t xml:space="preserve"> (5-average score) and multiplying it by number of respondents. </w:t>
            </w:r>
          </w:p>
          <w:p w14:paraId="17B4DF26" w14:textId="77777777" w:rsidR="008B69A5" w:rsidRDefault="008B69A5" w:rsidP="00901D4C">
            <w:pPr>
              <w:pStyle w:val="p1"/>
              <w:rPr>
                <w:rFonts w:ascii="Century Gothic" w:hAnsi="Century Gothic"/>
                <w:color w:val="000000" w:themeColor="text1"/>
                <w:sz w:val="20"/>
                <w:szCs w:val="18"/>
              </w:rPr>
            </w:pPr>
          </w:p>
          <w:p w14:paraId="62FE0324" w14:textId="4974C199" w:rsidR="00350DB9" w:rsidRDefault="00350DB9" w:rsidP="00901D4C">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Score Cards were sent out to </w:t>
            </w:r>
            <w:r w:rsidR="008B69A5">
              <w:rPr>
                <w:rFonts w:ascii="Century Gothic" w:hAnsi="Century Gothic"/>
                <w:color w:val="000000" w:themeColor="text1"/>
                <w:sz w:val="20"/>
                <w:szCs w:val="18"/>
              </w:rPr>
              <w:t>organizational leads. The barriers list was</w:t>
            </w:r>
            <w:r w:rsidR="008574FD">
              <w:rPr>
                <w:rFonts w:ascii="Century Gothic" w:hAnsi="Century Gothic"/>
                <w:color w:val="000000" w:themeColor="text1"/>
                <w:sz w:val="20"/>
                <w:szCs w:val="18"/>
              </w:rPr>
              <w:t xml:space="preserve"> </w:t>
            </w:r>
            <w:proofErr w:type="gramStart"/>
            <w:r w:rsidR="008574FD">
              <w:rPr>
                <w:rFonts w:ascii="Century Gothic" w:hAnsi="Century Gothic"/>
                <w:color w:val="000000" w:themeColor="text1"/>
                <w:sz w:val="20"/>
                <w:szCs w:val="18"/>
              </w:rPr>
              <w:t>similar to</w:t>
            </w:r>
            <w:proofErr w:type="gramEnd"/>
            <w:r w:rsidR="008574FD">
              <w:rPr>
                <w:rFonts w:ascii="Century Gothic" w:hAnsi="Century Gothic"/>
                <w:color w:val="000000" w:themeColor="text1"/>
                <w:sz w:val="20"/>
                <w:szCs w:val="18"/>
              </w:rPr>
              <w:t xml:space="preserve"> the 2016 Bree Collaborative evaluation in order to better understand if barriers had changed between 2016 and 202</w:t>
            </w:r>
            <w:r w:rsidR="00D11937">
              <w:rPr>
                <w:rFonts w:ascii="Century Gothic" w:hAnsi="Century Gothic"/>
                <w:color w:val="000000" w:themeColor="text1"/>
                <w:sz w:val="20"/>
                <w:szCs w:val="18"/>
              </w:rPr>
              <w:t xml:space="preserve">3 (see Evaluation report for results). </w:t>
            </w:r>
          </w:p>
          <w:p w14:paraId="6136F30C" w14:textId="77777777" w:rsidR="00043117" w:rsidRDefault="00043117" w:rsidP="00901D4C">
            <w:pPr>
              <w:pStyle w:val="p1"/>
              <w:rPr>
                <w:rFonts w:ascii="Century Gothic" w:hAnsi="Century Gothic"/>
                <w:color w:val="000000" w:themeColor="text1"/>
                <w:sz w:val="20"/>
                <w:szCs w:val="18"/>
              </w:rPr>
            </w:pPr>
          </w:p>
          <w:p w14:paraId="348B607F" w14:textId="478796D8" w:rsidR="00DB6774" w:rsidRDefault="00EB1AB4" w:rsidP="00901D4C">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The “Health System Survey” method </w:t>
            </w:r>
            <w:r w:rsidR="001A32EF">
              <w:rPr>
                <w:rFonts w:ascii="Century Gothic" w:hAnsi="Century Gothic"/>
                <w:color w:val="000000" w:themeColor="text1"/>
                <w:sz w:val="20"/>
                <w:szCs w:val="18"/>
              </w:rPr>
              <w:t xml:space="preserve">provided a list and asked respondents to choose their top </w:t>
            </w:r>
            <w:r w:rsidR="00991D4B">
              <w:rPr>
                <w:rFonts w:ascii="Century Gothic" w:hAnsi="Century Gothic"/>
                <w:color w:val="000000" w:themeColor="text1"/>
                <w:sz w:val="20"/>
                <w:szCs w:val="18"/>
              </w:rPr>
              <w:t xml:space="preserve">three. </w:t>
            </w:r>
            <w:r w:rsidR="002538BE">
              <w:rPr>
                <w:rFonts w:ascii="Century Gothic" w:hAnsi="Century Gothic"/>
                <w:color w:val="000000" w:themeColor="text1"/>
                <w:sz w:val="20"/>
                <w:szCs w:val="18"/>
              </w:rPr>
              <w:t>To generate the Y axis scores for “surveys” s</w:t>
            </w:r>
            <w:r w:rsidR="00991D4B">
              <w:rPr>
                <w:rFonts w:ascii="Century Gothic" w:hAnsi="Century Gothic"/>
                <w:color w:val="000000" w:themeColor="text1"/>
                <w:sz w:val="20"/>
                <w:szCs w:val="18"/>
              </w:rPr>
              <w:t xml:space="preserve">cores were calculated on the number of picks </w:t>
            </w:r>
            <w:r w:rsidR="004E69DD">
              <w:rPr>
                <w:rFonts w:ascii="Century Gothic" w:hAnsi="Century Gothic"/>
                <w:color w:val="000000" w:themeColor="text1"/>
                <w:sz w:val="20"/>
                <w:szCs w:val="18"/>
              </w:rPr>
              <w:t>for each item</w:t>
            </w:r>
            <w:r w:rsidR="00031991">
              <w:rPr>
                <w:rFonts w:ascii="Century Gothic" w:hAnsi="Century Gothic"/>
                <w:color w:val="000000" w:themeColor="text1"/>
                <w:sz w:val="20"/>
                <w:szCs w:val="18"/>
              </w:rPr>
              <w:t xml:space="preserve"> (simple count)</w:t>
            </w:r>
            <w:r w:rsidR="004E69DD">
              <w:rPr>
                <w:rFonts w:ascii="Century Gothic" w:hAnsi="Century Gothic"/>
                <w:color w:val="000000" w:themeColor="text1"/>
                <w:sz w:val="20"/>
                <w:szCs w:val="18"/>
              </w:rPr>
              <w:t xml:space="preserve">. </w:t>
            </w:r>
            <w:r w:rsidR="00D11937">
              <w:rPr>
                <w:rFonts w:ascii="Century Gothic" w:hAnsi="Century Gothic"/>
                <w:color w:val="000000" w:themeColor="text1"/>
                <w:sz w:val="20"/>
                <w:szCs w:val="18"/>
              </w:rPr>
              <w:t xml:space="preserve">The Health System Survey was posted on the Bree Collaborative website and open to all organizations and all staff at any level of the organization. </w:t>
            </w:r>
          </w:p>
          <w:p w14:paraId="670F475A" w14:textId="77777777" w:rsidR="001B55A9" w:rsidRDefault="001B55A9" w:rsidP="00901D4C">
            <w:pPr>
              <w:pStyle w:val="p1"/>
              <w:rPr>
                <w:rFonts w:ascii="Century Gothic" w:hAnsi="Century Gothic"/>
                <w:color w:val="000000" w:themeColor="text1"/>
                <w:sz w:val="20"/>
                <w:szCs w:val="18"/>
              </w:rPr>
            </w:pPr>
          </w:p>
          <w:p w14:paraId="5487D3C4" w14:textId="54812C19" w:rsidR="001B55A9" w:rsidRDefault="00D233B8" w:rsidP="00901D4C">
            <w:pPr>
              <w:pStyle w:val="p1"/>
              <w:rPr>
                <w:rFonts w:ascii="Century Gothic" w:hAnsi="Century Gothic"/>
                <w:color w:val="000000" w:themeColor="text1"/>
                <w:sz w:val="20"/>
                <w:szCs w:val="18"/>
              </w:rPr>
            </w:pPr>
            <w:r>
              <w:rPr>
                <w:rFonts w:ascii="Century Gothic" w:hAnsi="Century Gothic"/>
                <w:color w:val="000000" w:themeColor="text1"/>
                <w:sz w:val="20"/>
                <w:szCs w:val="18"/>
              </w:rPr>
              <w:t>Both methods r</w:t>
            </w:r>
            <w:r w:rsidR="00721517">
              <w:rPr>
                <w:rFonts w:ascii="Century Gothic" w:hAnsi="Century Gothic"/>
                <w:color w:val="000000" w:themeColor="text1"/>
                <w:sz w:val="20"/>
                <w:szCs w:val="18"/>
              </w:rPr>
              <w:t>elied on convenience reportin</w:t>
            </w:r>
            <w:r w:rsidR="00560E59">
              <w:rPr>
                <w:rFonts w:ascii="Century Gothic" w:hAnsi="Century Gothic"/>
                <w:color w:val="000000" w:themeColor="text1"/>
                <w:sz w:val="20"/>
                <w:szCs w:val="18"/>
              </w:rPr>
              <w:t>g and both methods provided an</w:t>
            </w:r>
            <w:r w:rsidR="00D852C5">
              <w:rPr>
                <w:rFonts w:ascii="Century Gothic" w:hAnsi="Century Gothic"/>
                <w:color w:val="000000" w:themeColor="text1"/>
                <w:sz w:val="20"/>
                <w:szCs w:val="18"/>
              </w:rPr>
              <w:t xml:space="preserve"> </w:t>
            </w:r>
            <w:r w:rsidR="00560E59">
              <w:rPr>
                <w:rFonts w:ascii="Century Gothic" w:hAnsi="Century Gothic"/>
                <w:color w:val="000000" w:themeColor="text1"/>
                <w:sz w:val="20"/>
                <w:szCs w:val="18"/>
              </w:rPr>
              <w:t xml:space="preserve">“other” option for organizations to fill in responses not listed. </w:t>
            </w:r>
          </w:p>
          <w:p w14:paraId="70F4B46A" w14:textId="205A9E77" w:rsidR="00D11937" w:rsidRPr="00CB70B7" w:rsidRDefault="00D11937" w:rsidP="00901D4C">
            <w:pPr>
              <w:pStyle w:val="p1"/>
              <w:rPr>
                <w:rFonts w:ascii="Century Gothic" w:hAnsi="Century Gothic"/>
                <w:color w:val="000000" w:themeColor="text1"/>
                <w:sz w:val="20"/>
                <w:szCs w:val="18"/>
              </w:rPr>
            </w:pPr>
          </w:p>
        </w:tc>
      </w:tr>
      <w:tr w:rsidR="000B2839" w:rsidRPr="00325569" w14:paraId="7D095F68" w14:textId="77777777" w:rsidTr="002527E1">
        <w:trPr>
          <w:trHeight w:val="715"/>
        </w:trPr>
        <w:tc>
          <w:tcPr>
            <w:tcW w:w="11286" w:type="dxa"/>
            <w:tcBorders>
              <w:top w:val="single" w:sz="4" w:space="0" w:color="BFBFBF" w:themeColor="background1" w:themeShade="BF"/>
              <w:left w:val="nil"/>
              <w:bottom w:val="nil"/>
              <w:right w:val="nil"/>
            </w:tcBorders>
            <w:shd w:val="clear" w:color="auto" w:fill="auto"/>
            <w:vAlign w:val="center"/>
          </w:tcPr>
          <w:tbl>
            <w:tblPr>
              <w:tblStyle w:val="TableGrid"/>
              <w:tblpPr w:leftFromText="180" w:rightFromText="180" w:vertAnchor="text" w:horzAnchor="margin" w:tblpY="-88"/>
              <w:tblW w:w="11183" w:type="dxa"/>
              <w:tblLook w:val="04A0" w:firstRow="1" w:lastRow="0" w:firstColumn="1" w:lastColumn="0" w:noHBand="0" w:noVBand="1"/>
            </w:tblPr>
            <w:tblGrid>
              <w:gridCol w:w="11183"/>
            </w:tblGrid>
            <w:tr w:rsidR="00043117" w:rsidRPr="00325569" w14:paraId="46D63A76" w14:textId="77777777" w:rsidTr="00043117">
              <w:trPr>
                <w:trHeight w:val="603"/>
              </w:trPr>
              <w:tc>
                <w:tcPr>
                  <w:tcW w:w="11183" w:type="dxa"/>
                  <w:tcBorders>
                    <w:top w:val="nil"/>
                    <w:left w:val="nil"/>
                    <w:bottom w:val="nil"/>
                    <w:right w:val="nil"/>
                  </w:tcBorders>
                  <w:shd w:val="clear" w:color="auto" w:fill="auto"/>
                  <w:vAlign w:val="center"/>
                </w:tcPr>
                <w:p w14:paraId="11FD70F3" w14:textId="77777777" w:rsidR="00043117" w:rsidRDefault="00043117" w:rsidP="00043117">
                  <w:pPr>
                    <w:pStyle w:val="p1"/>
                    <w:rPr>
                      <w:rFonts w:ascii="Century Gothic" w:hAnsi="Century Gothic"/>
                      <w:b/>
                      <w:color w:val="000000" w:themeColor="text1"/>
                      <w:sz w:val="18"/>
                      <w:szCs w:val="18"/>
                    </w:rPr>
                  </w:pPr>
                  <w:bookmarkStart w:id="0" w:name="_Hlk155712583"/>
                </w:p>
                <w:p w14:paraId="42E2D492" w14:textId="77777777" w:rsidR="00043117" w:rsidRDefault="00043117" w:rsidP="00043117">
                  <w:pPr>
                    <w:pStyle w:val="p1"/>
                    <w:ind w:left="-100"/>
                    <w:rPr>
                      <w:rFonts w:ascii="Century Gothic" w:hAnsi="Century Gothic"/>
                      <w:b/>
                      <w:color w:val="000000" w:themeColor="text1"/>
                      <w:sz w:val="18"/>
                      <w:szCs w:val="18"/>
                    </w:rPr>
                  </w:pPr>
                </w:p>
                <w:p w14:paraId="1301CB05" w14:textId="73FED2FF" w:rsidR="00043117" w:rsidRPr="00325569" w:rsidRDefault="00043117" w:rsidP="00043117">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DATA</w:t>
                  </w:r>
                </w:p>
              </w:tc>
            </w:tr>
            <w:tr w:rsidR="00043117" w:rsidRPr="00CB70B7" w14:paraId="08137ED9" w14:textId="77777777" w:rsidTr="0085342A">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70F354C" w14:textId="596A18B7" w:rsidR="00B363A2" w:rsidRDefault="00B363A2" w:rsidP="00043117">
                  <w:pPr>
                    <w:pStyle w:val="p1"/>
                    <w:rPr>
                      <w:rFonts w:ascii="Century Gothic" w:hAnsi="Century Gothic"/>
                      <w:color w:val="000000" w:themeColor="text1"/>
                      <w:sz w:val="20"/>
                      <w:szCs w:val="18"/>
                    </w:rPr>
                  </w:pPr>
                </w:p>
                <w:p w14:paraId="748627E8" w14:textId="73B16489" w:rsidR="00A20056" w:rsidRDefault="00A20056" w:rsidP="00043117">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Respondents for this survey included large health systems, health plans, educational </w:t>
                  </w:r>
                  <w:r w:rsidR="004A121E">
                    <w:rPr>
                      <w:rFonts w:ascii="Century Gothic" w:hAnsi="Century Gothic"/>
                      <w:color w:val="000000" w:themeColor="text1"/>
                      <w:sz w:val="20"/>
                      <w:szCs w:val="18"/>
                    </w:rPr>
                    <w:t xml:space="preserve">organizations, behavioral health organizations, physician’s groups, and </w:t>
                  </w:r>
                  <w:r w:rsidR="00DA65E0">
                    <w:rPr>
                      <w:rFonts w:ascii="Century Gothic" w:hAnsi="Century Gothic"/>
                      <w:color w:val="000000" w:themeColor="text1"/>
                      <w:sz w:val="20"/>
                      <w:szCs w:val="18"/>
                    </w:rPr>
                    <w:t>community-based</w:t>
                  </w:r>
                  <w:r w:rsidR="004A121E">
                    <w:rPr>
                      <w:rFonts w:ascii="Century Gothic" w:hAnsi="Century Gothic"/>
                      <w:color w:val="000000" w:themeColor="text1"/>
                      <w:sz w:val="20"/>
                      <w:szCs w:val="18"/>
                    </w:rPr>
                    <w:t xml:space="preserve"> organizations. </w:t>
                  </w:r>
                </w:p>
                <w:p w14:paraId="500E8258" w14:textId="77777777" w:rsidR="003B03C2" w:rsidRDefault="003B03C2" w:rsidP="00043117">
                  <w:pPr>
                    <w:pStyle w:val="p1"/>
                    <w:rPr>
                      <w:rFonts w:ascii="Century Gothic" w:hAnsi="Century Gothic"/>
                      <w:color w:val="000000" w:themeColor="text1"/>
                      <w:sz w:val="20"/>
                      <w:szCs w:val="18"/>
                    </w:rPr>
                  </w:pPr>
                </w:p>
                <w:p w14:paraId="5E556B90" w14:textId="2688EBA6" w:rsidR="00DE7582" w:rsidRDefault="003B03C2" w:rsidP="00043117">
                  <w:pPr>
                    <w:pStyle w:val="p1"/>
                    <w:rPr>
                      <w:rFonts w:ascii="Century Gothic" w:hAnsi="Century Gothic"/>
                      <w:color w:val="000000" w:themeColor="text1"/>
                      <w:sz w:val="20"/>
                      <w:szCs w:val="18"/>
                    </w:rPr>
                  </w:pPr>
                  <w:r>
                    <w:rPr>
                      <w:rFonts w:ascii="Century Gothic" w:hAnsi="Century Gothic"/>
                      <w:color w:val="000000" w:themeColor="text1"/>
                      <w:sz w:val="20"/>
                      <w:szCs w:val="18"/>
                    </w:rPr>
                    <w:t>The score card method received responses from</w:t>
                  </w:r>
                  <w:r w:rsidR="007916C2">
                    <w:rPr>
                      <w:rFonts w:ascii="Century Gothic" w:hAnsi="Century Gothic"/>
                      <w:color w:val="000000" w:themeColor="text1"/>
                      <w:sz w:val="20"/>
                      <w:szCs w:val="18"/>
                    </w:rPr>
                    <w:t xml:space="preserve"> 5 organizations over 8 lines of business</w:t>
                  </w:r>
                  <w:r w:rsidR="00676EF4">
                    <w:rPr>
                      <w:rFonts w:ascii="Century Gothic" w:hAnsi="Century Gothic"/>
                      <w:color w:val="000000" w:themeColor="text1"/>
                      <w:sz w:val="20"/>
                      <w:szCs w:val="18"/>
                    </w:rPr>
                    <w:t xml:space="preserve">. </w:t>
                  </w:r>
                  <w:r w:rsidR="00ED072D">
                    <w:rPr>
                      <w:rFonts w:ascii="Century Gothic" w:hAnsi="Century Gothic"/>
                      <w:color w:val="000000" w:themeColor="text1"/>
                      <w:sz w:val="20"/>
                      <w:szCs w:val="18"/>
                    </w:rPr>
                    <w:t>T</w:t>
                  </w:r>
                  <w:r w:rsidR="00DE7582">
                    <w:rPr>
                      <w:rFonts w:ascii="Century Gothic" w:hAnsi="Century Gothic"/>
                      <w:color w:val="000000" w:themeColor="text1"/>
                      <w:sz w:val="20"/>
                      <w:szCs w:val="18"/>
                    </w:rPr>
                    <w:t xml:space="preserve">he survey method received 27 responses between </w:t>
                  </w:r>
                  <w:r w:rsidR="00DA65E0">
                    <w:rPr>
                      <w:rFonts w:ascii="Century Gothic" w:hAnsi="Century Gothic"/>
                      <w:color w:val="000000" w:themeColor="text1"/>
                      <w:sz w:val="20"/>
                      <w:szCs w:val="18"/>
                    </w:rPr>
                    <w:t>June 9</w:t>
                  </w:r>
                  <w:r w:rsidR="00DA65E0" w:rsidRPr="00DA65E0">
                    <w:rPr>
                      <w:rFonts w:ascii="Century Gothic" w:hAnsi="Century Gothic"/>
                      <w:color w:val="000000" w:themeColor="text1"/>
                      <w:sz w:val="20"/>
                      <w:szCs w:val="18"/>
                      <w:vertAlign w:val="superscript"/>
                    </w:rPr>
                    <w:t>th</w:t>
                  </w:r>
                  <w:r w:rsidR="00DA65E0">
                    <w:rPr>
                      <w:rFonts w:ascii="Century Gothic" w:hAnsi="Century Gothic"/>
                      <w:color w:val="000000" w:themeColor="text1"/>
                      <w:sz w:val="20"/>
                      <w:szCs w:val="18"/>
                      <w:vertAlign w:val="superscript"/>
                    </w:rPr>
                    <w:t xml:space="preserve">, </w:t>
                  </w:r>
                  <w:r w:rsidR="00DA65E0">
                    <w:rPr>
                      <w:rFonts w:ascii="Century Gothic" w:hAnsi="Century Gothic"/>
                      <w:color w:val="000000" w:themeColor="text1"/>
                      <w:sz w:val="20"/>
                      <w:szCs w:val="18"/>
                    </w:rPr>
                    <w:t>2023, and July 8</w:t>
                  </w:r>
                  <w:r w:rsidR="00DA65E0" w:rsidRPr="00DA65E0">
                    <w:rPr>
                      <w:rFonts w:ascii="Century Gothic" w:hAnsi="Century Gothic"/>
                      <w:color w:val="000000" w:themeColor="text1"/>
                      <w:sz w:val="20"/>
                      <w:szCs w:val="18"/>
                      <w:vertAlign w:val="superscript"/>
                    </w:rPr>
                    <w:t>th</w:t>
                  </w:r>
                  <w:r w:rsidR="00DA65E0">
                    <w:rPr>
                      <w:rFonts w:ascii="Century Gothic" w:hAnsi="Century Gothic"/>
                      <w:color w:val="000000" w:themeColor="text1"/>
                      <w:sz w:val="20"/>
                      <w:szCs w:val="18"/>
                    </w:rPr>
                    <w:t>, 2024.</w:t>
                  </w:r>
                </w:p>
                <w:p w14:paraId="561271FB" w14:textId="77777777" w:rsidR="00AC6531" w:rsidRDefault="00AC6531" w:rsidP="00043117">
                  <w:pPr>
                    <w:pStyle w:val="p1"/>
                    <w:rPr>
                      <w:rFonts w:ascii="Century Gothic" w:hAnsi="Century Gothic"/>
                      <w:color w:val="000000" w:themeColor="text1"/>
                      <w:sz w:val="20"/>
                      <w:szCs w:val="18"/>
                    </w:rPr>
                  </w:pPr>
                </w:p>
                <w:p w14:paraId="7E336679" w14:textId="70E44A31" w:rsidR="00AC6531" w:rsidRDefault="00082C6C" w:rsidP="00043117">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Scores used for Chart 1 </w:t>
                  </w:r>
                  <w:r w:rsidR="00AC6531">
                    <w:rPr>
                      <w:rFonts w:ascii="Century Gothic" w:hAnsi="Century Gothic"/>
                      <w:color w:val="000000" w:themeColor="text1"/>
                      <w:sz w:val="20"/>
                      <w:szCs w:val="18"/>
                    </w:rPr>
                    <w:t>were calculated as noted in the Methods section above.</w:t>
                  </w:r>
                </w:p>
                <w:p w14:paraId="406C2618" w14:textId="77777777" w:rsidR="003C02DA" w:rsidRDefault="003C02DA" w:rsidP="00043117">
                  <w:pPr>
                    <w:pStyle w:val="p1"/>
                    <w:rPr>
                      <w:rFonts w:ascii="Century Gothic" w:hAnsi="Century Gothic"/>
                      <w:color w:val="000000" w:themeColor="text1"/>
                      <w:sz w:val="20"/>
                      <w:szCs w:val="18"/>
                    </w:rPr>
                  </w:pPr>
                </w:p>
                <w:p w14:paraId="24CF245A" w14:textId="77777777" w:rsidR="003C02DA" w:rsidRDefault="003C02DA" w:rsidP="00043117">
                  <w:pPr>
                    <w:pStyle w:val="p1"/>
                    <w:rPr>
                      <w:rFonts w:ascii="Century Gothic" w:hAnsi="Century Gothic"/>
                      <w:color w:val="000000" w:themeColor="text1"/>
                      <w:sz w:val="20"/>
                      <w:szCs w:val="18"/>
                    </w:rPr>
                  </w:pPr>
                </w:p>
                <w:p w14:paraId="09C83CD0" w14:textId="77777777" w:rsidR="003C02DA" w:rsidRDefault="003C02DA" w:rsidP="00043117">
                  <w:pPr>
                    <w:pStyle w:val="p1"/>
                    <w:rPr>
                      <w:rFonts w:ascii="Century Gothic" w:hAnsi="Century Gothic"/>
                      <w:color w:val="000000" w:themeColor="text1"/>
                      <w:sz w:val="20"/>
                      <w:szCs w:val="18"/>
                    </w:rPr>
                  </w:pPr>
                </w:p>
                <w:p w14:paraId="41E683F6" w14:textId="77777777" w:rsidR="003C02DA" w:rsidRDefault="003C02DA" w:rsidP="00043117">
                  <w:pPr>
                    <w:pStyle w:val="p1"/>
                    <w:rPr>
                      <w:rFonts w:ascii="Century Gothic" w:hAnsi="Century Gothic"/>
                      <w:color w:val="000000" w:themeColor="text1"/>
                      <w:sz w:val="20"/>
                      <w:szCs w:val="18"/>
                    </w:rPr>
                  </w:pPr>
                </w:p>
                <w:p w14:paraId="0A9C69A2" w14:textId="0785A682" w:rsidR="00934A12" w:rsidRDefault="00934A12" w:rsidP="00043117">
                  <w:pPr>
                    <w:pStyle w:val="p1"/>
                    <w:rPr>
                      <w:rFonts w:ascii="Century Gothic" w:hAnsi="Century Gothic"/>
                      <w:color w:val="000000" w:themeColor="text1"/>
                      <w:sz w:val="20"/>
                      <w:szCs w:val="18"/>
                    </w:rPr>
                  </w:pPr>
                </w:p>
                <w:p w14:paraId="4074F105" w14:textId="1A2220A9" w:rsidR="00350DB9" w:rsidRDefault="00B363A2" w:rsidP="009C58B4">
                  <w:pPr>
                    <w:pStyle w:val="p1"/>
                    <w:jc w:val="center"/>
                    <w:rPr>
                      <w:rFonts w:ascii="Century Gothic" w:hAnsi="Century Gothic"/>
                      <w:color w:val="000000" w:themeColor="text1"/>
                      <w:sz w:val="20"/>
                      <w:szCs w:val="18"/>
                    </w:rPr>
                  </w:pPr>
                  <w:r>
                    <w:rPr>
                      <w:noProof/>
                    </w:rPr>
                    <w:drawing>
                      <wp:inline distT="0" distB="0" distL="0" distR="0" wp14:anchorId="6EB98007" wp14:editId="5D79BCEA">
                        <wp:extent cx="6015038" cy="2743200"/>
                        <wp:effectExtent l="0" t="0" r="5080" b="0"/>
                        <wp:docPr id="64679459" name="Chart 1">
                          <a:extLst xmlns:a="http://schemas.openxmlformats.org/drawingml/2006/main">
                            <a:ext uri="{FF2B5EF4-FFF2-40B4-BE49-F238E27FC236}">
                              <a16:creationId xmlns:a16="http://schemas.microsoft.com/office/drawing/2014/main" id="{9C402DBD-2008-3F79-161A-E747B5AF0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1F414D24" w14:textId="77777777" w:rsidR="00B363A2" w:rsidRDefault="00B363A2" w:rsidP="00043117">
                  <w:pPr>
                    <w:pStyle w:val="p1"/>
                    <w:rPr>
                      <w:rFonts w:ascii="Century Gothic" w:hAnsi="Century Gothic"/>
                      <w:color w:val="000000" w:themeColor="text1"/>
                      <w:sz w:val="20"/>
                      <w:szCs w:val="18"/>
                    </w:rPr>
                  </w:pPr>
                </w:p>
                <w:p w14:paraId="16F5529B" w14:textId="70DA3B1F" w:rsidR="00031991" w:rsidRDefault="00031991" w:rsidP="00031991">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Scores used for Chart </w:t>
                  </w:r>
                  <w:r>
                    <w:rPr>
                      <w:rFonts w:ascii="Century Gothic" w:hAnsi="Century Gothic"/>
                      <w:color w:val="000000" w:themeColor="text1"/>
                      <w:sz w:val="20"/>
                      <w:szCs w:val="18"/>
                    </w:rPr>
                    <w:t>2</w:t>
                  </w:r>
                  <w:r>
                    <w:rPr>
                      <w:rFonts w:ascii="Century Gothic" w:hAnsi="Century Gothic"/>
                      <w:color w:val="000000" w:themeColor="text1"/>
                      <w:sz w:val="20"/>
                      <w:szCs w:val="18"/>
                    </w:rPr>
                    <w:t xml:space="preserve"> were calculated as noted in the Methods section above.</w:t>
                  </w:r>
                </w:p>
                <w:p w14:paraId="5355756D" w14:textId="77777777" w:rsidR="00E84B0B" w:rsidRDefault="00E84B0B" w:rsidP="00043117">
                  <w:pPr>
                    <w:pStyle w:val="p1"/>
                    <w:rPr>
                      <w:rFonts w:ascii="Century Gothic" w:hAnsi="Century Gothic"/>
                      <w:color w:val="000000" w:themeColor="text1"/>
                      <w:sz w:val="20"/>
                      <w:szCs w:val="18"/>
                    </w:rPr>
                  </w:pPr>
                </w:p>
                <w:p w14:paraId="5828EF4B" w14:textId="240BE460" w:rsidR="00B363A2" w:rsidRDefault="00350DB9" w:rsidP="008420AB">
                  <w:pPr>
                    <w:pStyle w:val="p1"/>
                    <w:jc w:val="center"/>
                    <w:rPr>
                      <w:rFonts w:ascii="Century Gothic" w:hAnsi="Century Gothic"/>
                      <w:color w:val="000000" w:themeColor="text1"/>
                      <w:sz w:val="20"/>
                      <w:szCs w:val="18"/>
                    </w:rPr>
                  </w:pPr>
                  <w:r>
                    <w:rPr>
                      <w:noProof/>
                    </w:rPr>
                    <w:drawing>
                      <wp:inline distT="0" distB="0" distL="0" distR="0" wp14:anchorId="7744F7AF" wp14:editId="46076CEF">
                        <wp:extent cx="6267450" cy="2743200"/>
                        <wp:effectExtent l="0" t="0" r="0" b="0"/>
                        <wp:docPr id="245102904" name="Chart 1">
                          <a:extLst xmlns:a="http://schemas.openxmlformats.org/drawingml/2006/main">
                            <a:ext uri="{FF2B5EF4-FFF2-40B4-BE49-F238E27FC236}">
                              <a16:creationId xmlns:a16="http://schemas.microsoft.com/office/drawing/2014/main" id="{8B5F1305-8D9C-77CC-4B6B-55B0DC26E3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BA9A884" w14:textId="77777777" w:rsidR="001361B4" w:rsidRDefault="001361B4" w:rsidP="008420AB">
                  <w:pPr>
                    <w:pStyle w:val="p1"/>
                    <w:jc w:val="center"/>
                    <w:rPr>
                      <w:rFonts w:ascii="Century Gothic" w:hAnsi="Century Gothic"/>
                      <w:color w:val="000000" w:themeColor="text1"/>
                      <w:sz w:val="20"/>
                      <w:szCs w:val="18"/>
                    </w:rPr>
                  </w:pPr>
                </w:p>
                <w:p w14:paraId="1E4D3057" w14:textId="5DC133A7" w:rsidR="00A504D9" w:rsidRDefault="00031991" w:rsidP="003F2AA8">
                  <w:pPr>
                    <w:pStyle w:val="p1"/>
                    <w:rPr>
                      <w:rFonts w:ascii="Century Gothic" w:hAnsi="Century Gothic"/>
                      <w:color w:val="000000" w:themeColor="text1"/>
                      <w:sz w:val="20"/>
                      <w:szCs w:val="18"/>
                    </w:rPr>
                  </w:pPr>
                  <w:r>
                    <w:rPr>
                      <w:rFonts w:ascii="Century Gothic" w:hAnsi="Century Gothic"/>
                      <w:color w:val="000000" w:themeColor="text1"/>
                      <w:sz w:val="20"/>
                      <w:szCs w:val="18"/>
                    </w:rPr>
                    <w:t>Scores for Chart 3</w:t>
                  </w:r>
                  <w:r w:rsidR="003F2AA8">
                    <w:rPr>
                      <w:rFonts w:ascii="Century Gothic" w:hAnsi="Century Gothic"/>
                      <w:color w:val="000000" w:themeColor="text1"/>
                      <w:sz w:val="20"/>
                      <w:szCs w:val="18"/>
                    </w:rPr>
                    <w:t xml:space="preserve"> were calculated</w:t>
                  </w:r>
                  <w:r w:rsidR="00035DB2">
                    <w:rPr>
                      <w:rFonts w:ascii="Century Gothic" w:hAnsi="Century Gothic"/>
                      <w:color w:val="000000" w:themeColor="text1"/>
                      <w:sz w:val="20"/>
                      <w:szCs w:val="18"/>
                    </w:rPr>
                    <w:t xml:space="preserve"> </w:t>
                  </w:r>
                  <w:r w:rsidR="003F2AA8">
                    <w:rPr>
                      <w:rFonts w:ascii="Century Gothic" w:hAnsi="Century Gothic"/>
                      <w:color w:val="000000" w:themeColor="text1"/>
                      <w:sz w:val="20"/>
                      <w:szCs w:val="18"/>
                    </w:rPr>
                    <w:t>as described in the methods section above</w:t>
                  </w:r>
                  <w:r w:rsidR="00A504D9">
                    <w:rPr>
                      <w:rFonts w:ascii="Century Gothic" w:hAnsi="Century Gothic"/>
                      <w:color w:val="000000" w:themeColor="text1"/>
                      <w:sz w:val="20"/>
                      <w:szCs w:val="18"/>
                    </w:rPr>
                    <w:t xml:space="preserve">. </w:t>
                  </w:r>
                  <w:r w:rsidR="00823A99">
                    <w:rPr>
                      <w:rFonts w:ascii="Century Gothic" w:hAnsi="Century Gothic"/>
                      <w:color w:val="000000" w:themeColor="text1"/>
                      <w:sz w:val="20"/>
                      <w:szCs w:val="18"/>
                    </w:rPr>
                    <w:t>The Y axis represents the score for the score card method and a proportion for the survey method.</w:t>
                  </w:r>
                  <w:r w:rsidR="00617EC8">
                    <w:rPr>
                      <w:rFonts w:ascii="Century Gothic" w:hAnsi="Century Gothic"/>
                      <w:color w:val="000000" w:themeColor="text1"/>
                      <w:sz w:val="20"/>
                      <w:szCs w:val="18"/>
                    </w:rPr>
                    <w:t xml:space="preserve"> </w:t>
                  </w:r>
                  <w:r w:rsidR="005D3764">
                    <w:rPr>
                      <w:rFonts w:ascii="Century Gothic" w:hAnsi="Century Gothic"/>
                      <w:color w:val="000000" w:themeColor="text1"/>
                      <w:sz w:val="20"/>
                      <w:szCs w:val="18"/>
                    </w:rPr>
                    <w:t xml:space="preserve">The difference in methods </w:t>
                  </w:r>
                  <w:r w:rsidR="00BF76F2">
                    <w:rPr>
                      <w:rFonts w:ascii="Century Gothic" w:hAnsi="Century Gothic"/>
                      <w:color w:val="000000" w:themeColor="text1"/>
                      <w:sz w:val="20"/>
                      <w:szCs w:val="18"/>
                    </w:rPr>
                    <w:t xml:space="preserve">is unlikely to have </w:t>
                  </w:r>
                  <w:r w:rsidR="00673ED1">
                    <w:rPr>
                      <w:rFonts w:ascii="Century Gothic" w:hAnsi="Century Gothic"/>
                      <w:color w:val="000000" w:themeColor="text1"/>
                      <w:sz w:val="20"/>
                      <w:szCs w:val="18"/>
                    </w:rPr>
                    <w:t>much imp</w:t>
                  </w:r>
                  <w:r w:rsidR="006F4719">
                    <w:rPr>
                      <w:rFonts w:ascii="Century Gothic" w:hAnsi="Century Gothic"/>
                      <w:color w:val="000000" w:themeColor="text1"/>
                      <w:sz w:val="20"/>
                      <w:szCs w:val="18"/>
                    </w:rPr>
                    <w:t xml:space="preserve">act on the findings when comparing the two. </w:t>
                  </w:r>
                </w:p>
                <w:p w14:paraId="408D58C8" w14:textId="77777777" w:rsidR="004B4736" w:rsidRDefault="004B4736" w:rsidP="008420AB">
                  <w:pPr>
                    <w:pStyle w:val="p1"/>
                    <w:jc w:val="center"/>
                    <w:rPr>
                      <w:rFonts w:ascii="Century Gothic" w:hAnsi="Century Gothic"/>
                      <w:color w:val="000000" w:themeColor="text1"/>
                      <w:sz w:val="20"/>
                      <w:szCs w:val="18"/>
                    </w:rPr>
                  </w:pPr>
                </w:p>
                <w:p w14:paraId="02A1A048" w14:textId="7D8A3E00" w:rsidR="004B4736" w:rsidRDefault="0085342A" w:rsidP="008420AB">
                  <w:pPr>
                    <w:pStyle w:val="p1"/>
                    <w:jc w:val="center"/>
                    <w:rPr>
                      <w:rFonts w:ascii="Century Gothic" w:hAnsi="Century Gothic"/>
                      <w:color w:val="000000" w:themeColor="text1"/>
                      <w:sz w:val="20"/>
                      <w:szCs w:val="18"/>
                    </w:rPr>
                  </w:pPr>
                  <w:r>
                    <w:rPr>
                      <w:noProof/>
                    </w:rPr>
                    <w:lastRenderedPageBreak/>
                    <w:drawing>
                      <wp:inline distT="0" distB="0" distL="0" distR="0" wp14:anchorId="3B797F9C" wp14:editId="62CC736C">
                        <wp:extent cx="6166236" cy="3276600"/>
                        <wp:effectExtent l="0" t="0" r="6350" b="0"/>
                        <wp:docPr id="1576294715" name="Chart 1">
                          <a:extLst xmlns:a="http://schemas.openxmlformats.org/drawingml/2006/main">
                            <a:ext uri="{FF2B5EF4-FFF2-40B4-BE49-F238E27FC236}">
                              <a16:creationId xmlns:a16="http://schemas.microsoft.com/office/drawing/2014/main" id="{AB452649-BE8F-B804-7D24-D047721A82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1558C7E" w14:textId="12BC6957" w:rsidR="00503B59" w:rsidRDefault="00503B59" w:rsidP="00503B59">
                  <w:pPr>
                    <w:pStyle w:val="p1"/>
                    <w:rPr>
                      <w:rFonts w:ascii="Century Gothic" w:hAnsi="Century Gothic"/>
                      <w:color w:val="000000" w:themeColor="text1"/>
                      <w:sz w:val="20"/>
                      <w:szCs w:val="18"/>
                    </w:rPr>
                  </w:pPr>
                </w:p>
                <w:p w14:paraId="256CC2C4" w14:textId="77777777" w:rsidR="00503B59" w:rsidRDefault="00503B59" w:rsidP="004B4736">
                  <w:pPr>
                    <w:pStyle w:val="p1"/>
                    <w:jc w:val="center"/>
                    <w:rPr>
                      <w:rFonts w:ascii="Century Gothic" w:hAnsi="Century Gothic"/>
                      <w:color w:val="000000" w:themeColor="text1"/>
                      <w:sz w:val="20"/>
                      <w:szCs w:val="18"/>
                    </w:rPr>
                  </w:pPr>
                </w:p>
                <w:p w14:paraId="28FDE43B" w14:textId="77CD5B5C" w:rsidR="00503B59" w:rsidRDefault="00276807" w:rsidP="00E00D1F">
                  <w:pPr>
                    <w:pStyle w:val="p1"/>
                    <w:rPr>
                      <w:rFonts w:ascii="Century Gothic" w:hAnsi="Century Gothic"/>
                      <w:color w:val="000000" w:themeColor="text1"/>
                      <w:sz w:val="20"/>
                      <w:szCs w:val="18"/>
                    </w:rPr>
                  </w:pPr>
                  <w:r>
                    <w:rPr>
                      <w:rFonts w:ascii="Century Gothic" w:hAnsi="Century Gothic"/>
                      <w:color w:val="000000" w:themeColor="text1"/>
                      <w:sz w:val="20"/>
                      <w:szCs w:val="18"/>
                    </w:rPr>
                    <w:t>Because the score card method used counts only, comparison of barriers by au</w:t>
                  </w:r>
                  <w:r w:rsidR="000F2672">
                    <w:rPr>
                      <w:rFonts w:ascii="Century Gothic" w:hAnsi="Century Gothic"/>
                      <w:color w:val="000000" w:themeColor="text1"/>
                      <w:sz w:val="20"/>
                      <w:szCs w:val="18"/>
                    </w:rPr>
                    <w:t>dience type was done using percentages</w:t>
                  </w:r>
                  <w:r w:rsidR="00340B4F">
                    <w:rPr>
                      <w:rFonts w:ascii="Century Gothic" w:hAnsi="Century Gothic"/>
                      <w:color w:val="000000" w:themeColor="text1"/>
                      <w:sz w:val="20"/>
                      <w:szCs w:val="18"/>
                    </w:rPr>
                    <w:t xml:space="preserve"> for Chart 4.</w:t>
                  </w:r>
                  <w:r w:rsidR="000F2672">
                    <w:rPr>
                      <w:rFonts w:ascii="Century Gothic" w:hAnsi="Century Gothic"/>
                      <w:color w:val="000000" w:themeColor="text1"/>
                      <w:sz w:val="20"/>
                      <w:szCs w:val="18"/>
                    </w:rPr>
                    <w:t xml:space="preserve"> </w:t>
                  </w:r>
                  <w:r w:rsidR="003E0250">
                    <w:rPr>
                      <w:rFonts w:ascii="Century Gothic" w:hAnsi="Century Gothic"/>
                      <w:color w:val="000000" w:themeColor="text1"/>
                      <w:sz w:val="20"/>
                      <w:szCs w:val="18"/>
                    </w:rPr>
                    <w:t xml:space="preserve">Health plans and purchasers had an N of 4 and health systems had an N of 11. </w:t>
                  </w:r>
                  <w:r w:rsidR="00340B4F">
                    <w:rPr>
                      <w:rFonts w:ascii="Century Gothic" w:hAnsi="Century Gothic"/>
                      <w:color w:val="000000" w:themeColor="text1"/>
                      <w:sz w:val="20"/>
                      <w:szCs w:val="18"/>
                    </w:rPr>
                    <w:t>The survey method was calculated as a proportion using an N of 6.</w:t>
                  </w:r>
                </w:p>
                <w:p w14:paraId="5FE3A7AD" w14:textId="77777777" w:rsidR="0085342A" w:rsidRDefault="0085342A" w:rsidP="00E00D1F">
                  <w:pPr>
                    <w:pStyle w:val="p1"/>
                    <w:rPr>
                      <w:rFonts w:ascii="Century Gothic" w:hAnsi="Century Gothic"/>
                      <w:color w:val="000000" w:themeColor="text1"/>
                      <w:sz w:val="20"/>
                      <w:szCs w:val="18"/>
                    </w:rPr>
                  </w:pPr>
                </w:p>
                <w:p w14:paraId="470768A1" w14:textId="7DB958B4" w:rsidR="00B363A2" w:rsidRDefault="00491176" w:rsidP="004B4736">
                  <w:pPr>
                    <w:pStyle w:val="p1"/>
                    <w:jc w:val="center"/>
                    <w:rPr>
                      <w:rFonts w:ascii="Century Gothic" w:hAnsi="Century Gothic"/>
                      <w:color w:val="000000" w:themeColor="text1"/>
                      <w:sz w:val="20"/>
                      <w:szCs w:val="18"/>
                    </w:rPr>
                  </w:pPr>
                  <w:r>
                    <w:rPr>
                      <w:noProof/>
                    </w:rPr>
                    <w:drawing>
                      <wp:inline distT="0" distB="0" distL="0" distR="0" wp14:anchorId="4A8CF4BD" wp14:editId="062F1DDE">
                        <wp:extent cx="6217920" cy="2743200"/>
                        <wp:effectExtent l="0" t="0" r="11430" b="0"/>
                        <wp:docPr id="2057830678" name="Chart 1">
                          <a:extLst xmlns:a="http://schemas.openxmlformats.org/drawingml/2006/main">
                            <a:ext uri="{FF2B5EF4-FFF2-40B4-BE49-F238E27FC236}">
                              <a16:creationId xmlns:a16="http://schemas.microsoft.com/office/drawing/2014/main" id="{87D12DE4-6687-4840-2C31-475C240665A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6422F9" w14:textId="77777777" w:rsidR="00C22517" w:rsidRDefault="00C22517" w:rsidP="00E00D1F">
                  <w:pPr>
                    <w:pStyle w:val="p1"/>
                    <w:rPr>
                      <w:rFonts w:ascii="Century Gothic" w:hAnsi="Century Gothic"/>
                      <w:color w:val="000000" w:themeColor="text1"/>
                      <w:sz w:val="20"/>
                      <w:szCs w:val="18"/>
                    </w:rPr>
                  </w:pPr>
                </w:p>
                <w:p w14:paraId="59062440" w14:textId="1B1EE38B" w:rsidR="007E1F7D" w:rsidRDefault="00381AA3" w:rsidP="00E00D1F">
                  <w:pPr>
                    <w:pStyle w:val="p1"/>
                    <w:rPr>
                      <w:rFonts w:ascii="Century Gothic" w:hAnsi="Century Gothic"/>
                      <w:color w:val="000000" w:themeColor="text1"/>
                      <w:sz w:val="20"/>
                      <w:szCs w:val="18"/>
                    </w:rPr>
                  </w:pPr>
                  <w:r>
                    <w:rPr>
                      <w:rFonts w:ascii="Century Gothic" w:hAnsi="Century Gothic"/>
                      <w:color w:val="000000" w:themeColor="text1"/>
                      <w:sz w:val="20"/>
                      <w:szCs w:val="18"/>
                    </w:rPr>
                    <w:t>The score card method allowed for direct comparison of scores by audience</w:t>
                  </w:r>
                  <w:r w:rsidR="00340B4F">
                    <w:rPr>
                      <w:rFonts w:ascii="Century Gothic" w:hAnsi="Century Gothic"/>
                      <w:color w:val="000000" w:themeColor="text1"/>
                      <w:sz w:val="20"/>
                      <w:szCs w:val="18"/>
                    </w:rPr>
                    <w:t xml:space="preserve"> type as shown in Chart 5</w:t>
                  </w:r>
                  <w:r w:rsidR="004903A2">
                    <w:rPr>
                      <w:rFonts w:ascii="Century Gothic" w:hAnsi="Century Gothic"/>
                      <w:color w:val="000000" w:themeColor="text1"/>
                      <w:sz w:val="20"/>
                      <w:szCs w:val="18"/>
                    </w:rPr>
                    <w:t xml:space="preserve">, which identifies the </w:t>
                  </w:r>
                  <w:r w:rsidR="00E00D1F">
                    <w:rPr>
                      <w:rFonts w:ascii="Century Gothic" w:hAnsi="Century Gothic"/>
                      <w:color w:val="000000" w:themeColor="text1"/>
                      <w:sz w:val="20"/>
                      <w:szCs w:val="18"/>
                    </w:rPr>
                    <w:t>top four barriers</w:t>
                  </w:r>
                  <w:r w:rsidR="004903A2">
                    <w:rPr>
                      <w:rFonts w:ascii="Century Gothic" w:hAnsi="Century Gothic"/>
                      <w:color w:val="000000" w:themeColor="text1"/>
                      <w:sz w:val="20"/>
                      <w:szCs w:val="18"/>
                    </w:rPr>
                    <w:t>.</w:t>
                  </w:r>
                </w:p>
                <w:p w14:paraId="727C87D7" w14:textId="77777777" w:rsidR="00E00D1F" w:rsidRDefault="00E00D1F" w:rsidP="00E00D1F">
                  <w:pPr>
                    <w:pStyle w:val="p1"/>
                    <w:rPr>
                      <w:rFonts w:ascii="Century Gothic" w:hAnsi="Century Gothic"/>
                      <w:color w:val="000000" w:themeColor="text1"/>
                      <w:sz w:val="20"/>
                      <w:szCs w:val="18"/>
                    </w:rPr>
                  </w:pPr>
                </w:p>
                <w:p w14:paraId="09367E73" w14:textId="074B838A" w:rsidR="0065568E" w:rsidRDefault="00BB3D4B" w:rsidP="004B4736">
                  <w:pPr>
                    <w:pStyle w:val="p1"/>
                    <w:jc w:val="center"/>
                    <w:rPr>
                      <w:rFonts w:ascii="Century Gothic" w:hAnsi="Century Gothic"/>
                      <w:color w:val="000000" w:themeColor="text1"/>
                      <w:sz w:val="20"/>
                      <w:szCs w:val="18"/>
                    </w:rPr>
                  </w:pPr>
                  <w:r>
                    <w:rPr>
                      <w:noProof/>
                    </w:rPr>
                    <w:lastRenderedPageBreak/>
                    <w:drawing>
                      <wp:inline distT="0" distB="0" distL="0" distR="0" wp14:anchorId="7B7BC28C" wp14:editId="4A7279B1">
                        <wp:extent cx="6249726" cy="2743200"/>
                        <wp:effectExtent l="0" t="0" r="17780" b="0"/>
                        <wp:docPr id="368085104" name="Chart 1">
                          <a:extLst xmlns:a="http://schemas.openxmlformats.org/drawingml/2006/main">
                            <a:ext uri="{FF2B5EF4-FFF2-40B4-BE49-F238E27FC236}">
                              <a16:creationId xmlns:a16="http://schemas.microsoft.com/office/drawing/2014/main" id="{0388ABB7-7A09-3904-9F9E-85C1836E28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1C8F30E" w14:textId="77777777" w:rsidR="0065568E" w:rsidRDefault="0065568E" w:rsidP="004B4736">
                  <w:pPr>
                    <w:pStyle w:val="p1"/>
                    <w:jc w:val="center"/>
                    <w:rPr>
                      <w:rFonts w:ascii="Century Gothic" w:hAnsi="Century Gothic"/>
                      <w:color w:val="000000" w:themeColor="text1"/>
                      <w:sz w:val="20"/>
                      <w:szCs w:val="18"/>
                    </w:rPr>
                  </w:pPr>
                </w:p>
                <w:p w14:paraId="1DCF350A" w14:textId="7A7106CA" w:rsidR="00B363A2" w:rsidRDefault="00B363A2" w:rsidP="00276431">
                  <w:pPr>
                    <w:pStyle w:val="p1"/>
                    <w:jc w:val="center"/>
                    <w:rPr>
                      <w:rFonts w:ascii="Century Gothic" w:hAnsi="Century Gothic"/>
                      <w:color w:val="000000" w:themeColor="text1"/>
                      <w:sz w:val="20"/>
                      <w:szCs w:val="18"/>
                    </w:rPr>
                  </w:pPr>
                </w:p>
                <w:p w14:paraId="238D8AD3" w14:textId="76A68489" w:rsidR="00276431" w:rsidRPr="00CB70B7" w:rsidRDefault="00276431" w:rsidP="00276431">
                  <w:pPr>
                    <w:pStyle w:val="p1"/>
                    <w:jc w:val="center"/>
                    <w:rPr>
                      <w:rFonts w:ascii="Century Gothic" w:hAnsi="Century Gothic"/>
                      <w:color w:val="000000" w:themeColor="text1"/>
                      <w:sz w:val="20"/>
                      <w:szCs w:val="18"/>
                    </w:rPr>
                  </w:pPr>
                </w:p>
              </w:tc>
            </w:tr>
            <w:bookmarkEnd w:id="0"/>
          </w:tbl>
          <w:p w14:paraId="7283D3BE" w14:textId="77777777" w:rsidR="000B2839" w:rsidRDefault="000B2839" w:rsidP="000B2839">
            <w:pPr>
              <w:pStyle w:val="p1"/>
              <w:ind w:left="-100"/>
              <w:rPr>
                <w:rFonts w:ascii="Century Gothic" w:hAnsi="Century Gothic"/>
                <w:b/>
                <w:color w:val="000000" w:themeColor="text1"/>
                <w:sz w:val="18"/>
                <w:szCs w:val="18"/>
              </w:rPr>
            </w:pPr>
          </w:p>
          <w:p w14:paraId="2772E008" w14:textId="391A4AFD" w:rsidR="000B2839" w:rsidRPr="00325569" w:rsidRDefault="005F3935" w:rsidP="000B2839">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DESCRIPTION</w:t>
            </w:r>
            <w:r w:rsidR="00A50AFF">
              <w:rPr>
                <w:rFonts w:ascii="Century Gothic" w:hAnsi="Century Gothic"/>
                <w:bCs/>
                <w:color w:val="2E74B5" w:themeColor="accent5" w:themeShade="BF"/>
                <w:sz w:val="28"/>
                <w:szCs w:val="28"/>
              </w:rPr>
              <w:t xml:space="preserve"> OF </w:t>
            </w:r>
            <w:r w:rsidR="00385D34">
              <w:rPr>
                <w:rFonts w:ascii="Century Gothic" w:hAnsi="Century Gothic"/>
                <w:bCs/>
                <w:color w:val="2E74B5" w:themeColor="accent5" w:themeShade="BF"/>
                <w:sz w:val="28"/>
                <w:szCs w:val="28"/>
              </w:rPr>
              <w:t>FINDING</w:t>
            </w:r>
          </w:p>
        </w:tc>
      </w:tr>
      <w:tr w:rsidR="000B2839" w:rsidRPr="00CB70B7" w14:paraId="280F514D" w14:textId="77777777" w:rsidTr="002527E1">
        <w:trPr>
          <w:trHeight w:val="810"/>
        </w:trPr>
        <w:tc>
          <w:tcPr>
            <w:tcW w:w="11286"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1CCCEF" w14:textId="2D823581" w:rsidR="00BB69C0" w:rsidRDefault="00BB69C0"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lastRenderedPageBreak/>
              <w:t>These methods provided the Bree Collaborative with some initial data to</w:t>
            </w:r>
            <w:r w:rsidR="006C522D">
              <w:rPr>
                <w:rFonts w:ascii="Century Gothic" w:hAnsi="Century Gothic"/>
                <w:color w:val="000000" w:themeColor="text1"/>
                <w:sz w:val="20"/>
                <w:szCs w:val="18"/>
              </w:rPr>
              <w:t xml:space="preserve"> identify barriers broadly and to measure changes in barriers from the previous evaluation in 2016.</w:t>
            </w:r>
          </w:p>
          <w:p w14:paraId="5BBB8B46" w14:textId="77777777" w:rsidR="00BB69C0" w:rsidRDefault="00BB69C0" w:rsidP="000B2839">
            <w:pPr>
              <w:pStyle w:val="p1"/>
              <w:rPr>
                <w:rFonts w:ascii="Century Gothic" w:hAnsi="Century Gothic"/>
                <w:color w:val="000000" w:themeColor="text1"/>
                <w:sz w:val="20"/>
                <w:szCs w:val="18"/>
              </w:rPr>
            </w:pPr>
          </w:p>
          <w:p w14:paraId="51C6D466" w14:textId="42EEBC53" w:rsidR="006E4B63" w:rsidRDefault="00B13147"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The difference in methods provides </w:t>
            </w:r>
            <w:r w:rsidR="002808A7">
              <w:rPr>
                <w:rFonts w:ascii="Century Gothic" w:hAnsi="Century Gothic"/>
                <w:color w:val="000000" w:themeColor="text1"/>
                <w:sz w:val="20"/>
                <w:szCs w:val="18"/>
              </w:rPr>
              <w:t xml:space="preserve">some </w:t>
            </w:r>
            <w:r>
              <w:rPr>
                <w:rFonts w:ascii="Century Gothic" w:hAnsi="Century Gothic"/>
                <w:color w:val="000000" w:themeColor="text1"/>
                <w:sz w:val="20"/>
                <w:szCs w:val="18"/>
              </w:rPr>
              <w:t>understanding of perceptions and actual barriers at different levels of organizations</w:t>
            </w:r>
            <w:r w:rsidR="004A0B98">
              <w:rPr>
                <w:rFonts w:ascii="Century Gothic" w:hAnsi="Century Gothic"/>
                <w:color w:val="000000" w:themeColor="text1"/>
                <w:sz w:val="20"/>
                <w:szCs w:val="18"/>
              </w:rPr>
              <w:t xml:space="preserve">, however two primary themes rose to the top for both surveys – </w:t>
            </w:r>
            <w:r w:rsidR="000F6268">
              <w:rPr>
                <w:rFonts w:ascii="Century Gothic" w:hAnsi="Century Gothic"/>
                <w:color w:val="000000" w:themeColor="text1"/>
                <w:sz w:val="20"/>
                <w:szCs w:val="18"/>
              </w:rPr>
              <w:t xml:space="preserve">business case and data. </w:t>
            </w:r>
            <w:r w:rsidR="00BA2082">
              <w:rPr>
                <w:rFonts w:ascii="Century Gothic" w:hAnsi="Century Gothic"/>
                <w:color w:val="000000" w:themeColor="text1"/>
                <w:sz w:val="20"/>
                <w:szCs w:val="18"/>
              </w:rPr>
              <w:t xml:space="preserve">In </w:t>
            </w:r>
            <w:r w:rsidR="000F6268">
              <w:rPr>
                <w:rFonts w:ascii="Century Gothic" w:hAnsi="Century Gothic"/>
                <w:color w:val="000000" w:themeColor="text1"/>
                <w:sz w:val="20"/>
                <w:szCs w:val="18"/>
              </w:rPr>
              <w:t xml:space="preserve">the Health System Survey, more concerns about </w:t>
            </w:r>
            <w:r w:rsidR="002527E1">
              <w:rPr>
                <w:rFonts w:ascii="Century Gothic" w:hAnsi="Century Gothic"/>
                <w:color w:val="000000" w:themeColor="text1"/>
                <w:sz w:val="20"/>
                <w:szCs w:val="18"/>
              </w:rPr>
              <w:t xml:space="preserve">personnel were highlighted, while in the Score Card </w:t>
            </w:r>
            <w:r w:rsidR="00BA2082">
              <w:rPr>
                <w:rFonts w:ascii="Century Gothic" w:hAnsi="Century Gothic"/>
                <w:color w:val="000000" w:themeColor="text1"/>
                <w:sz w:val="20"/>
                <w:szCs w:val="18"/>
              </w:rPr>
              <w:t>s</w:t>
            </w:r>
            <w:r w:rsidR="002527E1">
              <w:rPr>
                <w:rFonts w:ascii="Century Gothic" w:hAnsi="Century Gothic"/>
                <w:color w:val="000000" w:themeColor="text1"/>
                <w:sz w:val="20"/>
                <w:szCs w:val="18"/>
              </w:rPr>
              <w:t>urvey</w:t>
            </w:r>
            <w:r w:rsidR="00BA2082">
              <w:rPr>
                <w:rFonts w:ascii="Century Gothic" w:hAnsi="Century Gothic"/>
                <w:color w:val="000000" w:themeColor="text1"/>
                <w:sz w:val="20"/>
                <w:szCs w:val="18"/>
              </w:rPr>
              <w:t>,</w:t>
            </w:r>
            <w:r w:rsidR="002527E1">
              <w:rPr>
                <w:rFonts w:ascii="Century Gothic" w:hAnsi="Century Gothic"/>
                <w:color w:val="000000" w:themeColor="text1"/>
                <w:sz w:val="20"/>
                <w:szCs w:val="18"/>
              </w:rPr>
              <w:t xml:space="preserve"> concerns about contracting were highlighted.</w:t>
            </w:r>
            <w:r w:rsidR="00BA2082">
              <w:rPr>
                <w:rFonts w:ascii="Century Gothic" w:hAnsi="Century Gothic"/>
                <w:color w:val="000000" w:themeColor="text1"/>
                <w:sz w:val="20"/>
                <w:szCs w:val="18"/>
              </w:rPr>
              <w:t xml:space="preserve"> Lack of data and data infrastructure rose to the top in both methods</w:t>
            </w:r>
            <w:r w:rsidR="004D499A">
              <w:rPr>
                <w:rFonts w:ascii="Century Gothic" w:hAnsi="Century Gothic"/>
                <w:color w:val="000000" w:themeColor="text1"/>
                <w:sz w:val="20"/>
                <w:szCs w:val="18"/>
              </w:rPr>
              <w:t xml:space="preserve">, indicating a system-wide issue with data collection and sharing. </w:t>
            </w:r>
          </w:p>
          <w:p w14:paraId="0550950B" w14:textId="77777777" w:rsidR="008420AB" w:rsidRDefault="008420AB" w:rsidP="000B2839">
            <w:pPr>
              <w:pStyle w:val="p1"/>
              <w:rPr>
                <w:rFonts w:ascii="Century Gothic" w:hAnsi="Century Gothic"/>
                <w:color w:val="000000" w:themeColor="text1"/>
                <w:sz w:val="20"/>
                <w:szCs w:val="18"/>
              </w:rPr>
            </w:pPr>
          </w:p>
          <w:p w14:paraId="76151D0C" w14:textId="77777777" w:rsidR="00F4308B" w:rsidRPr="00F4308B" w:rsidRDefault="00F4308B" w:rsidP="000B2839">
            <w:pPr>
              <w:pStyle w:val="p1"/>
              <w:rPr>
                <w:rFonts w:ascii="Century Gothic" w:hAnsi="Century Gothic"/>
                <w:b/>
                <w:bCs/>
                <w:color w:val="000000" w:themeColor="text1"/>
                <w:sz w:val="20"/>
                <w:szCs w:val="18"/>
              </w:rPr>
            </w:pPr>
            <w:r w:rsidRPr="00F4308B">
              <w:rPr>
                <w:rFonts w:ascii="Century Gothic" w:hAnsi="Century Gothic"/>
                <w:b/>
                <w:bCs/>
                <w:color w:val="000000" w:themeColor="text1"/>
                <w:sz w:val="20"/>
                <w:szCs w:val="18"/>
              </w:rPr>
              <w:t>Business Case</w:t>
            </w:r>
          </w:p>
          <w:p w14:paraId="0EBA15FF" w14:textId="734FF39B" w:rsidR="00EE1BC5" w:rsidRDefault="001C07FC"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Although it was not always the highest ranked or </w:t>
            </w:r>
            <w:r w:rsidR="009B76C1">
              <w:rPr>
                <w:rFonts w:ascii="Century Gothic" w:hAnsi="Century Gothic"/>
                <w:color w:val="000000" w:themeColor="text1"/>
                <w:sz w:val="20"/>
                <w:szCs w:val="18"/>
              </w:rPr>
              <w:t>most often chosen</w:t>
            </w:r>
            <w:r>
              <w:rPr>
                <w:rFonts w:ascii="Century Gothic" w:hAnsi="Century Gothic"/>
                <w:color w:val="000000" w:themeColor="text1"/>
                <w:sz w:val="20"/>
                <w:szCs w:val="18"/>
              </w:rPr>
              <w:t xml:space="preserve"> </w:t>
            </w:r>
            <w:r w:rsidR="0038615B">
              <w:rPr>
                <w:rFonts w:ascii="Century Gothic" w:hAnsi="Century Gothic"/>
                <w:color w:val="000000" w:themeColor="text1"/>
                <w:sz w:val="20"/>
                <w:szCs w:val="18"/>
              </w:rPr>
              <w:t>“</w:t>
            </w:r>
            <w:r>
              <w:rPr>
                <w:rFonts w:ascii="Century Gothic" w:hAnsi="Century Gothic"/>
                <w:color w:val="000000" w:themeColor="text1"/>
                <w:sz w:val="20"/>
                <w:szCs w:val="18"/>
              </w:rPr>
              <w:t>l</w:t>
            </w:r>
            <w:r w:rsidR="00C7791C">
              <w:rPr>
                <w:rFonts w:ascii="Century Gothic" w:hAnsi="Century Gothic"/>
                <w:color w:val="000000" w:themeColor="text1"/>
                <w:sz w:val="20"/>
                <w:szCs w:val="18"/>
              </w:rPr>
              <w:t>ack of a business case or economic rewards</w:t>
            </w:r>
            <w:r w:rsidR="0038615B">
              <w:rPr>
                <w:rFonts w:ascii="Century Gothic" w:hAnsi="Century Gothic"/>
                <w:color w:val="000000" w:themeColor="text1"/>
                <w:sz w:val="20"/>
                <w:szCs w:val="18"/>
              </w:rPr>
              <w:t>”</w:t>
            </w:r>
            <w:r w:rsidR="00C7791C">
              <w:rPr>
                <w:rFonts w:ascii="Century Gothic" w:hAnsi="Century Gothic"/>
                <w:color w:val="000000" w:themeColor="text1"/>
                <w:sz w:val="20"/>
                <w:szCs w:val="18"/>
              </w:rPr>
              <w:t xml:space="preserve"> was</w:t>
            </w:r>
            <w:r>
              <w:rPr>
                <w:rFonts w:ascii="Century Gothic" w:hAnsi="Century Gothic"/>
                <w:color w:val="000000" w:themeColor="text1"/>
                <w:sz w:val="20"/>
                <w:szCs w:val="18"/>
              </w:rPr>
              <w:t xml:space="preserve"> a</w:t>
            </w:r>
            <w:r w:rsidR="00C7791C">
              <w:rPr>
                <w:rFonts w:ascii="Century Gothic" w:hAnsi="Century Gothic"/>
                <w:color w:val="000000" w:themeColor="text1"/>
                <w:sz w:val="20"/>
                <w:szCs w:val="18"/>
              </w:rPr>
              <w:t xml:space="preserve"> common barrier in the top five across both surveys. </w:t>
            </w:r>
          </w:p>
          <w:p w14:paraId="29911612" w14:textId="77777777" w:rsidR="00EE1BC5" w:rsidRDefault="00EE1BC5" w:rsidP="000B2839">
            <w:pPr>
              <w:pStyle w:val="p1"/>
              <w:rPr>
                <w:rFonts w:ascii="Century Gothic" w:hAnsi="Century Gothic"/>
                <w:color w:val="000000" w:themeColor="text1"/>
                <w:sz w:val="20"/>
                <w:szCs w:val="18"/>
              </w:rPr>
            </w:pPr>
          </w:p>
          <w:p w14:paraId="75AB8267" w14:textId="77777777" w:rsidR="00EE1BC5" w:rsidRPr="00F4308B" w:rsidRDefault="00EE1BC5" w:rsidP="000B2839">
            <w:pPr>
              <w:pStyle w:val="p1"/>
              <w:rPr>
                <w:rFonts w:ascii="Century Gothic" w:hAnsi="Century Gothic"/>
                <w:b/>
                <w:bCs/>
                <w:color w:val="000000" w:themeColor="text1"/>
                <w:sz w:val="20"/>
                <w:szCs w:val="18"/>
              </w:rPr>
            </w:pPr>
            <w:r w:rsidRPr="00F4308B">
              <w:rPr>
                <w:rFonts w:ascii="Century Gothic" w:hAnsi="Century Gothic"/>
                <w:b/>
                <w:bCs/>
                <w:color w:val="000000" w:themeColor="text1"/>
                <w:sz w:val="20"/>
                <w:szCs w:val="18"/>
              </w:rPr>
              <w:t>Data</w:t>
            </w:r>
          </w:p>
          <w:p w14:paraId="0EE7682C" w14:textId="51FA5FE2" w:rsidR="008420AB" w:rsidRDefault="00E0498F"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t>Burden of collecting data, including lack of infras</w:t>
            </w:r>
            <w:r w:rsidR="00E54283">
              <w:rPr>
                <w:rFonts w:ascii="Century Gothic" w:hAnsi="Century Gothic"/>
                <w:color w:val="000000" w:themeColor="text1"/>
                <w:sz w:val="20"/>
                <w:szCs w:val="18"/>
              </w:rPr>
              <w:t xml:space="preserve">tructure and lack of credibility or availability of data constituted a second common theme across both surveys. </w:t>
            </w:r>
            <w:r w:rsidR="008420AB">
              <w:rPr>
                <w:rFonts w:ascii="Century Gothic" w:hAnsi="Century Gothic"/>
                <w:color w:val="000000" w:themeColor="text1"/>
                <w:sz w:val="20"/>
                <w:szCs w:val="18"/>
              </w:rPr>
              <w:t xml:space="preserve"> </w:t>
            </w:r>
            <w:r w:rsidR="003537F7">
              <w:rPr>
                <w:rFonts w:ascii="Century Gothic" w:hAnsi="Century Gothic"/>
                <w:color w:val="000000" w:themeColor="text1"/>
                <w:sz w:val="20"/>
                <w:szCs w:val="18"/>
              </w:rPr>
              <w:t>Lack of data infrastructure</w:t>
            </w:r>
            <w:r w:rsidR="00E0666E">
              <w:t xml:space="preserve"> </w:t>
            </w:r>
            <w:r w:rsidR="00E0666E" w:rsidRPr="00E0666E">
              <w:rPr>
                <w:rFonts w:ascii="Century Gothic" w:hAnsi="Century Gothic"/>
                <w:color w:val="000000" w:themeColor="text1"/>
                <w:sz w:val="20"/>
                <w:szCs w:val="18"/>
              </w:rPr>
              <w:t>(e.g., EHR system, broadband issues, lack of integration with behavioral health systems, etc.)</w:t>
            </w:r>
            <w:r w:rsidR="003537F7">
              <w:rPr>
                <w:rFonts w:ascii="Century Gothic" w:hAnsi="Century Gothic"/>
                <w:color w:val="000000" w:themeColor="text1"/>
                <w:sz w:val="20"/>
                <w:szCs w:val="18"/>
              </w:rPr>
              <w:t xml:space="preserve"> is a particular challenge for behavioral health and community organizations</w:t>
            </w:r>
            <w:r w:rsidR="00BF61C1">
              <w:rPr>
                <w:rFonts w:ascii="Century Gothic" w:hAnsi="Century Gothic"/>
                <w:color w:val="000000" w:themeColor="text1"/>
                <w:sz w:val="20"/>
                <w:szCs w:val="18"/>
              </w:rPr>
              <w:t xml:space="preserve"> as well as more impo</w:t>
            </w:r>
            <w:r w:rsidR="0054405D">
              <w:rPr>
                <w:rFonts w:ascii="Century Gothic" w:hAnsi="Century Gothic"/>
                <w:color w:val="000000" w:themeColor="text1"/>
                <w:sz w:val="20"/>
                <w:szCs w:val="18"/>
              </w:rPr>
              <w:t>rtant for health systems compare to health plans.</w:t>
            </w:r>
          </w:p>
          <w:p w14:paraId="6FD59D64" w14:textId="77777777" w:rsidR="00F4308B" w:rsidRDefault="00F4308B" w:rsidP="000B2839">
            <w:pPr>
              <w:pStyle w:val="p1"/>
              <w:rPr>
                <w:rFonts w:ascii="Century Gothic" w:hAnsi="Century Gothic"/>
                <w:color w:val="000000" w:themeColor="text1"/>
                <w:sz w:val="20"/>
                <w:szCs w:val="18"/>
              </w:rPr>
            </w:pPr>
          </w:p>
          <w:p w14:paraId="04E7DD0D" w14:textId="5711B74A" w:rsidR="00F4308B" w:rsidRPr="00695728" w:rsidRDefault="005C6CB1" w:rsidP="000B2839">
            <w:pPr>
              <w:pStyle w:val="p1"/>
              <w:rPr>
                <w:rFonts w:ascii="Century Gothic" w:hAnsi="Century Gothic"/>
                <w:b/>
                <w:bCs/>
                <w:color w:val="000000" w:themeColor="text1"/>
                <w:sz w:val="20"/>
                <w:szCs w:val="18"/>
              </w:rPr>
            </w:pPr>
            <w:r>
              <w:rPr>
                <w:rFonts w:ascii="Century Gothic" w:hAnsi="Century Gothic"/>
                <w:b/>
                <w:bCs/>
                <w:color w:val="000000" w:themeColor="text1"/>
                <w:sz w:val="20"/>
                <w:szCs w:val="18"/>
              </w:rPr>
              <w:t>Capacity and Cost</w:t>
            </w:r>
          </w:p>
          <w:p w14:paraId="30E40CE6" w14:textId="19279036" w:rsidR="002C68D5" w:rsidRDefault="002C68D5"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Time, cost, and personnel </w:t>
            </w:r>
            <w:r w:rsidR="00695728">
              <w:rPr>
                <w:rFonts w:ascii="Century Gothic" w:hAnsi="Century Gothic"/>
                <w:color w:val="000000" w:themeColor="text1"/>
                <w:sz w:val="20"/>
                <w:szCs w:val="18"/>
              </w:rPr>
              <w:t xml:space="preserve">rounded out the top barriers </w:t>
            </w:r>
            <w:r w:rsidR="00E0666E">
              <w:rPr>
                <w:rFonts w:ascii="Century Gothic" w:hAnsi="Century Gothic"/>
                <w:color w:val="000000" w:themeColor="text1"/>
                <w:sz w:val="20"/>
                <w:szCs w:val="18"/>
              </w:rPr>
              <w:t>for all audience types</w:t>
            </w:r>
            <w:r w:rsidR="005C6CB1">
              <w:rPr>
                <w:rFonts w:ascii="Century Gothic" w:hAnsi="Century Gothic"/>
                <w:color w:val="000000" w:themeColor="text1"/>
                <w:sz w:val="20"/>
                <w:szCs w:val="18"/>
              </w:rPr>
              <w:t xml:space="preserve">, but particularly for </w:t>
            </w:r>
            <w:r w:rsidR="00D73CF8">
              <w:rPr>
                <w:rFonts w:ascii="Century Gothic" w:hAnsi="Century Gothic"/>
                <w:color w:val="000000" w:themeColor="text1"/>
                <w:sz w:val="20"/>
                <w:szCs w:val="18"/>
              </w:rPr>
              <w:t xml:space="preserve">community and </w:t>
            </w:r>
            <w:r w:rsidR="00BD65FE">
              <w:rPr>
                <w:rFonts w:ascii="Century Gothic" w:hAnsi="Century Gothic"/>
                <w:color w:val="000000" w:themeColor="text1"/>
                <w:sz w:val="20"/>
                <w:szCs w:val="18"/>
              </w:rPr>
              <w:t>health care provider organizations.</w:t>
            </w:r>
          </w:p>
          <w:p w14:paraId="08D2B719" w14:textId="77777777" w:rsidR="002C68D5" w:rsidRDefault="002C68D5" w:rsidP="000B2839">
            <w:pPr>
              <w:pStyle w:val="p1"/>
              <w:rPr>
                <w:rFonts w:ascii="Century Gothic" w:hAnsi="Century Gothic"/>
                <w:color w:val="000000" w:themeColor="text1"/>
                <w:sz w:val="20"/>
                <w:szCs w:val="18"/>
              </w:rPr>
            </w:pPr>
          </w:p>
          <w:p w14:paraId="34205776" w14:textId="77777777" w:rsidR="002C68D5" w:rsidRPr="00B56512" w:rsidRDefault="002C68D5" w:rsidP="000B2839">
            <w:pPr>
              <w:pStyle w:val="p1"/>
              <w:rPr>
                <w:rFonts w:ascii="Century Gothic" w:hAnsi="Century Gothic"/>
                <w:b/>
                <w:bCs/>
                <w:color w:val="000000" w:themeColor="text1"/>
                <w:sz w:val="20"/>
                <w:szCs w:val="18"/>
              </w:rPr>
            </w:pPr>
            <w:r w:rsidRPr="00B56512">
              <w:rPr>
                <w:rFonts w:ascii="Century Gothic" w:hAnsi="Century Gothic"/>
                <w:b/>
                <w:bCs/>
                <w:color w:val="000000" w:themeColor="text1"/>
                <w:sz w:val="20"/>
                <w:szCs w:val="18"/>
              </w:rPr>
              <w:t>Contracting</w:t>
            </w:r>
          </w:p>
          <w:p w14:paraId="003219BE" w14:textId="2BF2AFA1" w:rsidR="00B56512" w:rsidRDefault="007F1AB9"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Challenges around contracting partnerships </w:t>
            </w:r>
            <w:r w:rsidR="00D73CF8">
              <w:rPr>
                <w:rFonts w:ascii="Century Gothic" w:hAnsi="Century Gothic"/>
                <w:color w:val="000000" w:themeColor="text1"/>
                <w:sz w:val="20"/>
                <w:szCs w:val="18"/>
              </w:rPr>
              <w:t>were</w:t>
            </w:r>
            <w:r>
              <w:rPr>
                <w:rFonts w:ascii="Century Gothic" w:hAnsi="Century Gothic"/>
                <w:color w:val="000000" w:themeColor="text1"/>
                <w:sz w:val="20"/>
                <w:szCs w:val="18"/>
              </w:rPr>
              <w:t xml:space="preserve"> </w:t>
            </w:r>
            <w:r w:rsidR="005224E5">
              <w:rPr>
                <w:rFonts w:ascii="Century Gothic" w:hAnsi="Century Gothic"/>
                <w:color w:val="000000" w:themeColor="text1"/>
                <w:sz w:val="20"/>
                <w:szCs w:val="18"/>
              </w:rPr>
              <w:t>close to equal in importance for health plans and health system</w:t>
            </w:r>
            <w:r w:rsidR="004D499A">
              <w:rPr>
                <w:rFonts w:ascii="Century Gothic" w:hAnsi="Century Gothic"/>
                <w:color w:val="000000" w:themeColor="text1"/>
                <w:sz w:val="20"/>
                <w:szCs w:val="18"/>
              </w:rPr>
              <w:t>s</w:t>
            </w:r>
            <w:r w:rsidR="005224E5">
              <w:rPr>
                <w:rFonts w:ascii="Century Gothic" w:hAnsi="Century Gothic"/>
                <w:color w:val="000000" w:themeColor="text1"/>
                <w:sz w:val="20"/>
                <w:szCs w:val="18"/>
              </w:rPr>
              <w:t>.</w:t>
            </w:r>
          </w:p>
          <w:p w14:paraId="705602EC" w14:textId="77777777" w:rsidR="00D852C5" w:rsidRDefault="00D852C5" w:rsidP="000B2839">
            <w:pPr>
              <w:pStyle w:val="p1"/>
              <w:rPr>
                <w:rFonts w:ascii="Century Gothic" w:hAnsi="Century Gothic"/>
                <w:color w:val="000000" w:themeColor="text1"/>
                <w:sz w:val="20"/>
                <w:szCs w:val="18"/>
              </w:rPr>
            </w:pPr>
          </w:p>
          <w:p w14:paraId="59E5ABB1" w14:textId="1D915C7D" w:rsidR="00D852C5" w:rsidRPr="00B56512" w:rsidRDefault="00D852C5" w:rsidP="000B2839">
            <w:pPr>
              <w:pStyle w:val="p1"/>
              <w:rPr>
                <w:rFonts w:ascii="Century Gothic" w:hAnsi="Century Gothic"/>
                <w:b/>
                <w:bCs/>
                <w:color w:val="000000" w:themeColor="text1"/>
                <w:sz w:val="20"/>
                <w:szCs w:val="18"/>
              </w:rPr>
            </w:pPr>
            <w:r w:rsidRPr="00B56512">
              <w:rPr>
                <w:rFonts w:ascii="Century Gothic" w:hAnsi="Century Gothic"/>
                <w:b/>
                <w:bCs/>
                <w:color w:val="000000" w:themeColor="text1"/>
                <w:sz w:val="20"/>
                <w:szCs w:val="18"/>
              </w:rPr>
              <w:t xml:space="preserve">Other Barriers </w:t>
            </w:r>
          </w:p>
          <w:p w14:paraId="5A13F446" w14:textId="77777777" w:rsidR="008B55CF" w:rsidRDefault="003018ED" w:rsidP="000B2839">
            <w:pPr>
              <w:pStyle w:val="p1"/>
              <w:rPr>
                <w:rFonts w:ascii="Century Gothic" w:hAnsi="Century Gothic"/>
                <w:color w:val="000000" w:themeColor="text1"/>
                <w:sz w:val="20"/>
                <w:szCs w:val="18"/>
              </w:rPr>
            </w:pPr>
            <w:r w:rsidRPr="003018ED">
              <w:rPr>
                <w:rFonts w:ascii="Century Gothic" w:hAnsi="Century Gothic"/>
                <w:color w:val="000000" w:themeColor="text1"/>
                <w:sz w:val="20"/>
                <w:szCs w:val="18"/>
              </w:rPr>
              <w:t>Internal awareness/support of Bree Recommendations</w:t>
            </w:r>
            <w:r w:rsidR="00752E26">
              <w:rPr>
                <w:rFonts w:ascii="Century Gothic" w:hAnsi="Century Gothic"/>
                <w:color w:val="000000" w:themeColor="text1"/>
                <w:sz w:val="20"/>
                <w:szCs w:val="18"/>
              </w:rPr>
              <w:t xml:space="preserve"> received</w:t>
            </w:r>
            <w:r w:rsidR="00CE7161">
              <w:rPr>
                <w:rFonts w:ascii="Century Gothic" w:hAnsi="Century Gothic"/>
                <w:color w:val="000000" w:themeColor="text1"/>
                <w:sz w:val="20"/>
                <w:szCs w:val="18"/>
              </w:rPr>
              <w:t xml:space="preserve"> a score of 6 on the score card method</w:t>
            </w:r>
            <w:r w:rsidR="00EC3EE8">
              <w:rPr>
                <w:rFonts w:ascii="Century Gothic" w:hAnsi="Century Gothic"/>
                <w:color w:val="000000" w:themeColor="text1"/>
                <w:sz w:val="20"/>
                <w:szCs w:val="18"/>
              </w:rPr>
              <w:t>.</w:t>
            </w:r>
            <w:r w:rsidR="00CE7161">
              <w:rPr>
                <w:rFonts w:ascii="Century Gothic" w:hAnsi="Century Gothic"/>
                <w:color w:val="000000" w:themeColor="text1"/>
                <w:sz w:val="20"/>
                <w:szCs w:val="18"/>
              </w:rPr>
              <w:t xml:space="preserve"> </w:t>
            </w:r>
          </w:p>
          <w:p w14:paraId="6AA65399" w14:textId="77777777" w:rsidR="008B55CF" w:rsidRDefault="008B55CF" w:rsidP="000B2839">
            <w:pPr>
              <w:pStyle w:val="p1"/>
              <w:rPr>
                <w:rFonts w:ascii="Century Gothic" w:hAnsi="Century Gothic"/>
                <w:color w:val="000000" w:themeColor="text1"/>
                <w:sz w:val="20"/>
                <w:szCs w:val="18"/>
              </w:rPr>
            </w:pPr>
          </w:p>
          <w:p w14:paraId="3D27AC62" w14:textId="38F14460" w:rsidR="003018ED" w:rsidRDefault="00630DFF"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t>On the Health System Survey 6</w:t>
            </w:r>
            <w:r w:rsidR="005A3AF6">
              <w:rPr>
                <w:rFonts w:ascii="Century Gothic" w:hAnsi="Century Gothic"/>
                <w:color w:val="000000" w:themeColor="text1"/>
                <w:sz w:val="20"/>
                <w:szCs w:val="18"/>
              </w:rPr>
              <w:t xml:space="preserve"> out of </w:t>
            </w:r>
            <w:r w:rsidR="00EC3EE8">
              <w:rPr>
                <w:rFonts w:ascii="Century Gothic" w:hAnsi="Century Gothic"/>
                <w:color w:val="000000" w:themeColor="text1"/>
                <w:sz w:val="20"/>
                <w:szCs w:val="18"/>
              </w:rPr>
              <w:t xml:space="preserve">27 respondents </w:t>
            </w:r>
            <w:r w:rsidR="008D6370">
              <w:rPr>
                <w:rFonts w:ascii="Century Gothic" w:hAnsi="Century Gothic"/>
                <w:color w:val="000000" w:themeColor="text1"/>
                <w:sz w:val="20"/>
                <w:szCs w:val="18"/>
              </w:rPr>
              <w:t>answered,</w:t>
            </w:r>
            <w:r w:rsidR="00192B61">
              <w:rPr>
                <w:rFonts w:ascii="Century Gothic" w:hAnsi="Century Gothic"/>
                <w:color w:val="000000" w:themeColor="text1"/>
                <w:sz w:val="20"/>
                <w:szCs w:val="18"/>
              </w:rPr>
              <w:t xml:space="preserve"> “I have no knowledge of the Bree Guidelines and </w:t>
            </w:r>
            <w:r w:rsidR="008B55CF">
              <w:rPr>
                <w:rFonts w:ascii="Century Gothic" w:hAnsi="Century Gothic"/>
                <w:color w:val="000000" w:themeColor="text1"/>
                <w:sz w:val="20"/>
                <w:szCs w:val="18"/>
              </w:rPr>
              <w:t>7 out of 27 answered “I don’t know” to the question</w:t>
            </w:r>
            <w:r w:rsidR="007F64CF">
              <w:rPr>
                <w:rFonts w:ascii="Century Gothic" w:hAnsi="Century Gothic"/>
                <w:color w:val="000000" w:themeColor="text1"/>
                <w:sz w:val="20"/>
                <w:szCs w:val="18"/>
              </w:rPr>
              <w:t xml:space="preserve"> “</w:t>
            </w:r>
            <w:r w:rsidR="007F64CF" w:rsidRPr="007F64CF">
              <w:rPr>
                <w:rFonts w:ascii="Century Gothic" w:hAnsi="Century Gothic"/>
                <w:color w:val="000000" w:themeColor="text1"/>
                <w:sz w:val="20"/>
                <w:szCs w:val="18"/>
              </w:rPr>
              <w:t>Has your organization taken any actions to implement the Bree Guidelines?</w:t>
            </w:r>
            <w:r w:rsidR="007F64CF">
              <w:rPr>
                <w:rFonts w:ascii="Century Gothic" w:hAnsi="Century Gothic"/>
                <w:color w:val="000000" w:themeColor="text1"/>
                <w:sz w:val="20"/>
                <w:szCs w:val="18"/>
              </w:rPr>
              <w:t>”</w:t>
            </w:r>
            <w:r w:rsidR="008E44D6">
              <w:rPr>
                <w:rFonts w:ascii="Century Gothic" w:hAnsi="Century Gothic"/>
                <w:color w:val="000000" w:themeColor="text1"/>
                <w:sz w:val="20"/>
                <w:szCs w:val="18"/>
              </w:rPr>
              <w:t xml:space="preserve"> </w:t>
            </w:r>
            <w:proofErr w:type="gramStart"/>
            <w:r w:rsidR="008E44D6">
              <w:rPr>
                <w:rFonts w:ascii="Century Gothic" w:hAnsi="Century Gothic"/>
                <w:color w:val="000000" w:themeColor="text1"/>
                <w:sz w:val="20"/>
                <w:szCs w:val="18"/>
              </w:rPr>
              <w:t>The majority of</w:t>
            </w:r>
            <w:proofErr w:type="gramEnd"/>
            <w:r w:rsidR="008E44D6">
              <w:rPr>
                <w:rFonts w:ascii="Century Gothic" w:hAnsi="Century Gothic"/>
                <w:color w:val="000000" w:themeColor="text1"/>
                <w:sz w:val="20"/>
                <w:szCs w:val="18"/>
              </w:rPr>
              <w:t xml:space="preserve"> the roles </w:t>
            </w:r>
            <w:r w:rsidR="00BA611D">
              <w:rPr>
                <w:rFonts w:ascii="Century Gothic" w:hAnsi="Century Gothic"/>
                <w:color w:val="000000" w:themeColor="text1"/>
                <w:sz w:val="20"/>
                <w:szCs w:val="18"/>
              </w:rPr>
              <w:t xml:space="preserve">responding with these answers were clinicians and managers. </w:t>
            </w:r>
            <w:r w:rsidR="00475D1A">
              <w:rPr>
                <w:rFonts w:ascii="Century Gothic" w:hAnsi="Century Gothic"/>
                <w:color w:val="000000" w:themeColor="text1"/>
                <w:sz w:val="20"/>
                <w:szCs w:val="18"/>
              </w:rPr>
              <w:t xml:space="preserve">Those </w:t>
            </w:r>
            <w:r w:rsidR="00475D1A">
              <w:rPr>
                <w:rFonts w:ascii="Century Gothic" w:hAnsi="Century Gothic"/>
                <w:color w:val="000000" w:themeColor="text1"/>
                <w:sz w:val="20"/>
                <w:szCs w:val="18"/>
              </w:rPr>
              <w:lastRenderedPageBreak/>
              <w:t xml:space="preserve">answering that they had implemented or evaluated </w:t>
            </w:r>
            <w:r w:rsidR="00FF0371">
              <w:rPr>
                <w:rFonts w:ascii="Century Gothic" w:hAnsi="Century Gothic"/>
                <w:color w:val="000000" w:themeColor="text1"/>
                <w:sz w:val="20"/>
                <w:szCs w:val="18"/>
              </w:rPr>
              <w:t>a</w:t>
            </w:r>
            <w:r w:rsidR="0057441F">
              <w:rPr>
                <w:rFonts w:ascii="Century Gothic" w:hAnsi="Century Gothic"/>
                <w:color w:val="000000" w:themeColor="text1"/>
                <w:sz w:val="20"/>
                <w:szCs w:val="18"/>
              </w:rPr>
              <w:t>n</w:t>
            </w:r>
            <w:r w:rsidR="00FF0371">
              <w:rPr>
                <w:rFonts w:ascii="Century Gothic" w:hAnsi="Century Gothic"/>
                <w:color w:val="000000" w:themeColor="text1"/>
                <w:sz w:val="20"/>
                <w:szCs w:val="18"/>
              </w:rPr>
              <w:t xml:space="preserve"> implementation of Bree guidelines were primary in director roles. </w:t>
            </w:r>
          </w:p>
          <w:p w14:paraId="482654E4" w14:textId="185183A3" w:rsidR="005224E5" w:rsidRDefault="005224E5" w:rsidP="000B2839">
            <w:pPr>
              <w:pStyle w:val="p1"/>
              <w:rPr>
                <w:rFonts w:ascii="Century Gothic" w:hAnsi="Century Gothic"/>
                <w:color w:val="000000" w:themeColor="text1"/>
                <w:sz w:val="20"/>
                <w:szCs w:val="18"/>
              </w:rPr>
            </w:pPr>
          </w:p>
          <w:p w14:paraId="68D7AE77" w14:textId="1DE91E4E" w:rsidR="000E1218" w:rsidRDefault="000E1218" w:rsidP="000B2839">
            <w:pPr>
              <w:pStyle w:val="p1"/>
              <w:rPr>
                <w:rFonts w:ascii="Century Gothic" w:hAnsi="Century Gothic"/>
                <w:color w:val="000000" w:themeColor="text1"/>
                <w:sz w:val="20"/>
                <w:szCs w:val="18"/>
              </w:rPr>
            </w:pPr>
            <w:r>
              <w:rPr>
                <w:rFonts w:ascii="Century Gothic" w:hAnsi="Century Gothic"/>
                <w:color w:val="000000" w:themeColor="text1"/>
                <w:sz w:val="20"/>
                <w:szCs w:val="18"/>
              </w:rPr>
              <w:t>Information that was provided about “other” barriers was:</w:t>
            </w:r>
          </w:p>
          <w:p w14:paraId="19651C6E" w14:textId="77777777" w:rsidR="00515863" w:rsidRDefault="00515863" w:rsidP="000B2839">
            <w:pPr>
              <w:pStyle w:val="p1"/>
              <w:rPr>
                <w:rFonts w:ascii="Century Gothic" w:hAnsi="Century Gothic"/>
                <w:color w:val="000000" w:themeColor="text1"/>
                <w:sz w:val="20"/>
                <w:szCs w:val="18"/>
              </w:rPr>
            </w:pPr>
          </w:p>
          <w:tbl>
            <w:tblPr>
              <w:tblStyle w:val="TableGrid"/>
              <w:tblW w:w="0" w:type="auto"/>
              <w:tblLook w:val="04A0" w:firstRow="1" w:lastRow="0" w:firstColumn="1" w:lastColumn="0" w:noHBand="0" w:noVBand="1"/>
            </w:tblPr>
            <w:tblGrid>
              <w:gridCol w:w="5530"/>
              <w:gridCol w:w="5530"/>
            </w:tblGrid>
            <w:tr w:rsidR="005D64D4" w14:paraId="4D4E64BB" w14:textId="77777777" w:rsidTr="005D64D4">
              <w:tc>
                <w:tcPr>
                  <w:tcW w:w="5530" w:type="dxa"/>
                </w:tcPr>
                <w:p w14:paraId="09521660" w14:textId="4919CC51" w:rsidR="005D64D4" w:rsidRPr="00515863" w:rsidRDefault="005D64D4" w:rsidP="000B2839">
                  <w:pPr>
                    <w:pStyle w:val="p1"/>
                    <w:rPr>
                      <w:rFonts w:ascii="Century Gothic" w:hAnsi="Century Gothic"/>
                      <w:b/>
                      <w:bCs/>
                      <w:i/>
                      <w:iCs/>
                      <w:color w:val="000000" w:themeColor="text1"/>
                      <w:sz w:val="20"/>
                      <w:szCs w:val="18"/>
                    </w:rPr>
                  </w:pPr>
                  <w:r w:rsidRPr="00515863">
                    <w:rPr>
                      <w:rFonts w:ascii="Century Gothic" w:hAnsi="Century Gothic"/>
                      <w:b/>
                      <w:bCs/>
                      <w:i/>
                      <w:iCs/>
                      <w:color w:val="000000" w:themeColor="text1"/>
                      <w:sz w:val="20"/>
                      <w:szCs w:val="18"/>
                    </w:rPr>
                    <w:t>Health Plans</w:t>
                  </w:r>
                </w:p>
              </w:tc>
              <w:tc>
                <w:tcPr>
                  <w:tcW w:w="5530" w:type="dxa"/>
                </w:tcPr>
                <w:p w14:paraId="2D3109B6" w14:textId="27315965" w:rsidR="005D64D4" w:rsidRPr="00515863" w:rsidRDefault="005D64D4" w:rsidP="000B2839">
                  <w:pPr>
                    <w:pStyle w:val="p1"/>
                    <w:rPr>
                      <w:rFonts w:ascii="Century Gothic" w:hAnsi="Century Gothic"/>
                      <w:b/>
                      <w:bCs/>
                      <w:i/>
                      <w:iCs/>
                      <w:color w:val="000000" w:themeColor="text1"/>
                      <w:sz w:val="20"/>
                      <w:szCs w:val="18"/>
                    </w:rPr>
                  </w:pPr>
                  <w:r w:rsidRPr="00515863">
                    <w:rPr>
                      <w:rFonts w:ascii="Century Gothic" w:hAnsi="Century Gothic"/>
                      <w:b/>
                      <w:bCs/>
                      <w:i/>
                      <w:iCs/>
                      <w:color w:val="000000" w:themeColor="text1"/>
                      <w:sz w:val="20"/>
                      <w:szCs w:val="18"/>
                    </w:rPr>
                    <w:t>Community Partners</w:t>
                  </w:r>
                </w:p>
              </w:tc>
            </w:tr>
            <w:tr w:rsidR="00515863" w14:paraId="3F9EABC7" w14:textId="77777777" w:rsidTr="002659EF">
              <w:tc>
                <w:tcPr>
                  <w:tcW w:w="5530" w:type="dxa"/>
                  <w:vAlign w:val="bottom"/>
                </w:tcPr>
                <w:p w14:paraId="537B3D10" w14:textId="55207448" w:rsidR="00515863" w:rsidRDefault="00515863" w:rsidP="00515863">
                  <w:pPr>
                    <w:pStyle w:val="p1"/>
                    <w:rPr>
                      <w:rFonts w:ascii="Century Gothic" w:hAnsi="Century Gothic"/>
                      <w:color w:val="000000" w:themeColor="text1"/>
                      <w:sz w:val="20"/>
                      <w:szCs w:val="18"/>
                    </w:rPr>
                  </w:pPr>
                  <w:r>
                    <w:rPr>
                      <w:rFonts w:ascii="Aptos Narrow" w:hAnsi="Aptos Narrow"/>
                      <w:color w:val="000000"/>
                    </w:rPr>
                    <w:t>Limited bed capacity for SUD REHAB unrelated to network</w:t>
                  </w:r>
                </w:p>
              </w:tc>
              <w:tc>
                <w:tcPr>
                  <w:tcW w:w="5530" w:type="dxa"/>
                  <w:vAlign w:val="bottom"/>
                </w:tcPr>
                <w:p w14:paraId="39E27491" w14:textId="5073592B" w:rsidR="00515863" w:rsidRDefault="00515863" w:rsidP="00515863">
                  <w:pPr>
                    <w:pStyle w:val="p1"/>
                    <w:rPr>
                      <w:rFonts w:ascii="Century Gothic" w:hAnsi="Century Gothic"/>
                      <w:color w:val="000000" w:themeColor="text1"/>
                      <w:sz w:val="20"/>
                      <w:szCs w:val="18"/>
                    </w:rPr>
                  </w:pPr>
                  <w:r>
                    <w:rPr>
                      <w:rFonts w:ascii="Aptos Narrow" w:hAnsi="Aptos Narrow"/>
                      <w:color w:val="000000"/>
                    </w:rPr>
                    <w:t>Lack of institutional resources and staffing</w:t>
                  </w:r>
                </w:p>
              </w:tc>
            </w:tr>
            <w:tr w:rsidR="00515863" w14:paraId="288CB3B6" w14:textId="77777777" w:rsidTr="002659EF">
              <w:tc>
                <w:tcPr>
                  <w:tcW w:w="5530" w:type="dxa"/>
                  <w:vAlign w:val="bottom"/>
                </w:tcPr>
                <w:p w14:paraId="4530C79C" w14:textId="5783C734" w:rsidR="00515863" w:rsidRDefault="00515863" w:rsidP="00515863">
                  <w:pPr>
                    <w:pStyle w:val="p1"/>
                    <w:rPr>
                      <w:rFonts w:ascii="Century Gothic" w:hAnsi="Century Gothic"/>
                      <w:color w:val="000000" w:themeColor="text1"/>
                      <w:sz w:val="20"/>
                      <w:szCs w:val="18"/>
                    </w:rPr>
                  </w:pPr>
                  <w:r>
                    <w:rPr>
                      <w:rFonts w:ascii="Aptos Narrow" w:hAnsi="Aptos Narrow"/>
                      <w:color w:val="000000"/>
                    </w:rPr>
                    <w:t>Improved outcomes</w:t>
                  </w:r>
                </w:p>
              </w:tc>
              <w:tc>
                <w:tcPr>
                  <w:tcW w:w="5530" w:type="dxa"/>
                  <w:vAlign w:val="bottom"/>
                </w:tcPr>
                <w:p w14:paraId="7B668F19" w14:textId="02113E8F" w:rsidR="00515863" w:rsidRDefault="00515863" w:rsidP="00515863">
                  <w:pPr>
                    <w:pStyle w:val="p1"/>
                    <w:rPr>
                      <w:rFonts w:ascii="Century Gothic" w:hAnsi="Century Gothic"/>
                      <w:color w:val="000000" w:themeColor="text1"/>
                      <w:sz w:val="20"/>
                      <w:szCs w:val="18"/>
                    </w:rPr>
                  </w:pPr>
                  <w:r>
                    <w:rPr>
                      <w:rFonts w:ascii="Aptos Narrow" w:hAnsi="Aptos Narrow"/>
                      <w:color w:val="000000"/>
                    </w:rPr>
                    <w:t>Organizational purpose alignment - health care is secondary</w:t>
                  </w:r>
                </w:p>
              </w:tc>
            </w:tr>
            <w:tr w:rsidR="005D64D4" w14:paraId="059786AA" w14:textId="77777777" w:rsidTr="00F265BA">
              <w:tc>
                <w:tcPr>
                  <w:tcW w:w="5530" w:type="dxa"/>
                  <w:vAlign w:val="bottom"/>
                </w:tcPr>
                <w:p w14:paraId="38D709E3" w14:textId="757DF99E" w:rsidR="005D64D4" w:rsidRDefault="005D64D4" w:rsidP="005D64D4">
                  <w:pPr>
                    <w:pStyle w:val="p1"/>
                    <w:rPr>
                      <w:rFonts w:ascii="Century Gothic" w:hAnsi="Century Gothic"/>
                      <w:color w:val="000000" w:themeColor="text1"/>
                      <w:sz w:val="20"/>
                      <w:szCs w:val="18"/>
                    </w:rPr>
                  </w:pPr>
                  <w:r>
                    <w:rPr>
                      <w:rFonts w:ascii="Aptos Narrow" w:hAnsi="Aptos Narrow"/>
                      <w:color w:val="000000"/>
                    </w:rPr>
                    <w:t>Multitude of critical business needs that may or may not align with work of the Bree</w:t>
                  </w:r>
                </w:p>
              </w:tc>
              <w:tc>
                <w:tcPr>
                  <w:tcW w:w="5530" w:type="dxa"/>
                </w:tcPr>
                <w:p w14:paraId="2CA308DB" w14:textId="77777777" w:rsidR="005D64D4" w:rsidRDefault="005D64D4" w:rsidP="005D64D4">
                  <w:pPr>
                    <w:pStyle w:val="p1"/>
                    <w:rPr>
                      <w:rFonts w:ascii="Century Gothic" w:hAnsi="Century Gothic"/>
                      <w:color w:val="000000" w:themeColor="text1"/>
                      <w:sz w:val="20"/>
                      <w:szCs w:val="18"/>
                    </w:rPr>
                  </w:pPr>
                </w:p>
              </w:tc>
            </w:tr>
            <w:tr w:rsidR="005D64D4" w14:paraId="71AF8A1F" w14:textId="77777777" w:rsidTr="00F265BA">
              <w:tc>
                <w:tcPr>
                  <w:tcW w:w="5530" w:type="dxa"/>
                  <w:vAlign w:val="bottom"/>
                </w:tcPr>
                <w:p w14:paraId="2115D7B7" w14:textId="7CDE1988" w:rsidR="005D64D4" w:rsidRDefault="005D64D4" w:rsidP="005D64D4">
                  <w:pPr>
                    <w:pStyle w:val="p1"/>
                    <w:rPr>
                      <w:rFonts w:ascii="Century Gothic" w:hAnsi="Century Gothic"/>
                      <w:color w:val="000000" w:themeColor="text1"/>
                      <w:sz w:val="20"/>
                      <w:szCs w:val="18"/>
                    </w:rPr>
                  </w:pPr>
                  <w:r>
                    <w:rPr>
                      <w:rFonts w:ascii="Aptos Narrow" w:hAnsi="Aptos Narrow"/>
                      <w:color w:val="000000"/>
                    </w:rPr>
                    <w:t xml:space="preserve">Regulatory constraints, i.e. HIPPA, etc. impacts SUD measures </w:t>
                  </w:r>
                </w:p>
              </w:tc>
              <w:tc>
                <w:tcPr>
                  <w:tcW w:w="5530" w:type="dxa"/>
                </w:tcPr>
                <w:p w14:paraId="5E01448C" w14:textId="77777777" w:rsidR="005D64D4" w:rsidRDefault="005D64D4" w:rsidP="005D64D4">
                  <w:pPr>
                    <w:pStyle w:val="p1"/>
                    <w:rPr>
                      <w:rFonts w:ascii="Century Gothic" w:hAnsi="Century Gothic"/>
                      <w:color w:val="000000" w:themeColor="text1"/>
                      <w:sz w:val="20"/>
                      <w:szCs w:val="18"/>
                    </w:rPr>
                  </w:pPr>
                </w:p>
              </w:tc>
            </w:tr>
          </w:tbl>
          <w:p w14:paraId="6B9E0414" w14:textId="5921ECA7" w:rsidR="002C68D5" w:rsidRPr="00CB70B7" w:rsidRDefault="002C68D5" w:rsidP="000B2839">
            <w:pPr>
              <w:pStyle w:val="p1"/>
              <w:rPr>
                <w:rFonts w:ascii="Century Gothic" w:hAnsi="Century Gothic"/>
                <w:color w:val="000000" w:themeColor="text1"/>
                <w:sz w:val="20"/>
                <w:szCs w:val="18"/>
              </w:rPr>
            </w:pPr>
          </w:p>
        </w:tc>
      </w:tr>
      <w:tr w:rsidR="00EE102A" w:rsidRPr="00325569" w14:paraId="2C394B5A" w14:textId="77777777" w:rsidTr="002527E1">
        <w:trPr>
          <w:trHeight w:val="715"/>
        </w:trPr>
        <w:tc>
          <w:tcPr>
            <w:tcW w:w="11286" w:type="dxa"/>
            <w:tcBorders>
              <w:top w:val="single" w:sz="4" w:space="0" w:color="BFBFBF" w:themeColor="background1" w:themeShade="BF"/>
              <w:left w:val="nil"/>
              <w:bottom w:val="nil"/>
              <w:right w:val="nil"/>
            </w:tcBorders>
            <w:shd w:val="clear" w:color="auto" w:fill="auto"/>
            <w:vAlign w:val="center"/>
          </w:tcPr>
          <w:p w14:paraId="57CC1A60" w14:textId="77777777" w:rsidR="00EE102A" w:rsidRDefault="00EE102A" w:rsidP="00EE102A">
            <w:pPr>
              <w:pStyle w:val="p1"/>
              <w:ind w:left="-100"/>
              <w:rPr>
                <w:rFonts w:ascii="Century Gothic" w:hAnsi="Century Gothic"/>
                <w:b/>
                <w:color w:val="000000" w:themeColor="text1"/>
                <w:sz w:val="18"/>
                <w:szCs w:val="18"/>
              </w:rPr>
            </w:pPr>
          </w:p>
          <w:p w14:paraId="0AEFCA87" w14:textId="41DD45B0" w:rsidR="00EE102A" w:rsidRPr="00325569" w:rsidRDefault="00307502" w:rsidP="00EE102A">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CHALLENGES AND LIMITATION</w:t>
            </w:r>
          </w:p>
        </w:tc>
      </w:tr>
      <w:tr w:rsidR="00EE102A" w:rsidRPr="00CB70B7" w14:paraId="52876BD8" w14:textId="77777777" w:rsidTr="002527E1">
        <w:trPr>
          <w:trHeight w:val="801"/>
        </w:trPr>
        <w:tc>
          <w:tcPr>
            <w:tcW w:w="11286"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AA90159" w14:textId="2DC8FFCC" w:rsidR="00307502" w:rsidRPr="00752D91" w:rsidRDefault="00307502" w:rsidP="00307502">
            <w:pPr>
              <w:pStyle w:val="p1"/>
              <w:rPr>
                <w:rFonts w:ascii="Century Gothic" w:hAnsi="Century Gothic"/>
                <w:color w:val="auto"/>
                <w:sz w:val="20"/>
                <w:szCs w:val="18"/>
              </w:rPr>
            </w:pPr>
            <w:r w:rsidRPr="00752D91">
              <w:rPr>
                <w:rFonts w:ascii="Century Gothic" w:hAnsi="Century Gothic"/>
                <w:color w:val="auto"/>
                <w:sz w:val="20"/>
                <w:szCs w:val="18"/>
              </w:rPr>
              <w:t xml:space="preserve">Multiple challenges exist with this data collection method. </w:t>
            </w:r>
            <w:r w:rsidR="00744DA7" w:rsidRPr="00752D91">
              <w:rPr>
                <w:rFonts w:ascii="Century Gothic" w:hAnsi="Century Gothic"/>
                <w:color w:val="auto"/>
                <w:sz w:val="20"/>
                <w:szCs w:val="18"/>
              </w:rPr>
              <w:t xml:space="preserve">Ranking was used in one </w:t>
            </w:r>
            <w:r w:rsidR="00B84144" w:rsidRPr="00752D91">
              <w:rPr>
                <w:rFonts w:ascii="Century Gothic" w:hAnsi="Century Gothic"/>
                <w:color w:val="auto"/>
                <w:sz w:val="20"/>
                <w:szCs w:val="18"/>
              </w:rPr>
              <w:t>survey;</w:t>
            </w:r>
            <w:r w:rsidR="00744DA7" w:rsidRPr="00752D91">
              <w:rPr>
                <w:rFonts w:ascii="Century Gothic" w:hAnsi="Century Gothic"/>
                <w:color w:val="auto"/>
                <w:sz w:val="20"/>
                <w:szCs w:val="18"/>
              </w:rPr>
              <w:t xml:space="preserve"> however technological constraints didn’t allow for it to be used in another. </w:t>
            </w:r>
            <w:r w:rsidR="00FC45F2" w:rsidRPr="00752D91">
              <w:rPr>
                <w:rFonts w:ascii="Century Gothic" w:hAnsi="Century Gothic"/>
                <w:color w:val="auto"/>
                <w:sz w:val="20"/>
                <w:szCs w:val="18"/>
              </w:rPr>
              <w:t xml:space="preserve">A balance needed to be struck between aligning with the 2016 evaluation to </w:t>
            </w:r>
            <w:r w:rsidR="00722471" w:rsidRPr="00752D91">
              <w:rPr>
                <w:rFonts w:ascii="Century Gothic" w:hAnsi="Century Gothic"/>
                <w:color w:val="auto"/>
                <w:sz w:val="20"/>
                <w:szCs w:val="18"/>
              </w:rPr>
              <w:t xml:space="preserve">do a “remeasure” of barriers and updating </w:t>
            </w:r>
            <w:r w:rsidR="000E0D83" w:rsidRPr="00752D91">
              <w:rPr>
                <w:rFonts w:ascii="Century Gothic" w:hAnsi="Century Gothic"/>
                <w:color w:val="auto"/>
                <w:sz w:val="20"/>
                <w:szCs w:val="18"/>
              </w:rPr>
              <w:t xml:space="preserve">response options for clarity, consistency, or address changes to the health care environment. </w:t>
            </w:r>
          </w:p>
          <w:p w14:paraId="1168F75E" w14:textId="77777777" w:rsidR="003D2568" w:rsidRDefault="003D2568" w:rsidP="00307502">
            <w:pPr>
              <w:pStyle w:val="p1"/>
              <w:rPr>
                <w:rFonts w:ascii="Century Gothic" w:hAnsi="Century Gothic"/>
                <w:color w:val="FF0000"/>
                <w:sz w:val="20"/>
                <w:szCs w:val="18"/>
              </w:rPr>
            </w:pPr>
          </w:p>
          <w:p w14:paraId="546F0B46" w14:textId="77777777" w:rsidR="00EE102A" w:rsidRDefault="00307502" w:rsidP="00307502">
            <w:pPr>
              <w:pStyle w:val="p1"/>
              <w:rPr>
                <w:rFonts w:ascii="Century Gothic" w:hAnsi="Century Gothic"/>
                <w:color w:val="auto"/>
                <w:sz w:val="20"/>
                <w:szCs w:val="18"/>
              </w:rPr>
            </w:pPr>
            <w:r w:rsidRPr="00B84144">
              <w:rPr>
                <w:rFonts w:ascii="Century Gothic" w:hAnsi="Century Gothic"/>
                <w:color w:val="auto"/>
                <w:sz w:val="20"/>
                <w:szCs w:val="18"/>
              </w:rPr>
              <w:t>Data limitations</w:t>
            </w:r>
            <w:r w:rsidR="003D2568" w:rsidRPr="00B84144">
              <w:rPr>
                <w:rFonts w:ascii="Century Gothic" w:hAnsi="Century Gothic"/>
                <w:color w:val="auto"/>
                <w:sz w:val="20"/>
                <w:szCs w:val="18"/>
              </w:rPr>
              <w:t xml:space="preserve"> include small responses</w:t>
            </w:r>
            <w:r w:rsidR="00BB015B" w:rsidRPr="00B84144">
              <w:rPr>
                <w:rFonts w:ascii="Century Gothic" w:hAnsi="Century Gothic"/>
                <w:color w:val="auto"/>
                <w:sz w:val="20"/>
                <w:szCs w:val="18"/>
              </w:rPr>
              <w:t>, lack of</w:t>
            </w:r>
            <w:r w:rsidR="00B84144" w:rsidRPr="00B84144">
              <w:rPr>
                <w:rFonts w:ascii="Century Gothic" w:hAnsi="Century Gothic"/>
                <w:color w:val="auto"/>
                <w:sz w:val="20"/>
                <w:szCs w:val="18"/>
              </w:rPr>
              <w:t xml:space="preserve"> response options </w:t>
            </w:r>
            <w:r w:rsidR="00BB015B" w:rsidRPr="00B84144">
              <w:rPr>
                <w:rFonts w:ascii="Century Gothic" w:hAnsi="Century Gothic"/>
                <w:color w:val="auto"/>
                <w:sz w:val="20"/>
                <w:szCs w:val="18"/>
              </w:rPr>
              <w:t xml:space="preserve">overlap between the two methods, and bias generated by having a pre-defined list of barriers. </w:t>
            </w:r>
            <w:r w:rsidR="003D2568" w:rsidRPr="00B84144">
              <w:rPr>
                <w:rFonts w:ascii="Century Gothic" w:hAnsi="Century Gothic"/>
                <w:color w:val="auto"/>
                <w:sz w:val="20"/>
                <w:szCs w:val="18"/>
              </w:rPr>
              <w:t xml:space="preserve">The Bree lacks the capacity and influence to be able to conduct a randomized survey </w:t>
            </w:r>
            <w:r w:rsidR="00744DA7" w:rsidRPr="00B84144">
              <w:rPr>
                <w:rFonts w:ascii="Century Gothic" w:hAnsi="Century Gothic"/>
                <w:color w:val="auto"/>
                <w:sz w:val="20"/>
                <w:szCs w:val="18"/>
              </w:rPr>
              <w:t>currently</w:t>
            </w:r>
            <w:r w:rsidR="003D2568" w:rsidRPr="00B84144">
              <w:rPr>
                <w:rFonts w:ascii="Century Gothic" w:hAnsi="Century Gothic"/>
                <w:color w:val="auto"/>
                <w:sz w:val="20"/>
                <w:szCs w:val="18"/>
              </w:rPr>
              <w:t>.</w:t>
            </w:r>
          </w:p>
          <w:p w14:paraId="63CA923F" w14:textId="77777777" w:rsidR="00752D91" w:rsidRDefault="00752D91" w:rsidP="00307502">
            <w:pPr>
              <w:pStyle w:val="p1"/>
              <w:rPr>
                <w:rFonts w:ascii="Century Gothic" w:hAnsi="Century Gothic"/>
                <w:color w:val="auto"/>
                <w:sz w:val="20"/>
                <w:szCs w:val="18"/>
              </w:rPr>
            </w:pPr>
          </w:p>
          <w:p w14:paraId="6D55F414" w14:textId="387F6B8D" w:rsidR="00752D91" w:rsidRDefault="00B54101" w:rsidP="00307502">
            <w:pPr>
              <w:pStyle w:val="p1"/>
              <w:rPr>
                <w:rFonts w:ascii="Century Gothic" w:hAnsi="Century Gothic"/>
                <w:color w:val="auto"/>
                <w:sz w:val="20"/>
                <w:szCs w:val="18"/>
              </w:rPr>
            </w:pPr>
            <w:r>
              <w:rPr>
                <w:rFonts w:ascii="Century Gothic" w:hAnsi="Century Gothic"/>
                <w:color w:val="auto"/>
                <w:sz w:val="20"/>
                <w:szCs w:val="18"/>
              </w:rPr>
              <w:t>The a</w:t>
            </w:r>
            <w:r w:rsidR="00752D91">
              <w:rPr>
                <w:rFonts w:ascii="Century Gothic" w:hAnsi="Century Gothic"/>
                <w:color w:val="auto"/>
                <w:sz w:val="20"/>
                <w:szCs w:val="18"/>
              </w:rPr>
              <w:t xml:space="preserve">bility to spread these surveys throughout the health care system </w:t>
            </w:r>
            <w:r w:rsidR="00650844">
              <w:rPr>
                <w:rFonts w:ascii="Century Gothic" w:hAnsi="Century Gothic"/>
                <w:color w:val="auto"/>
                <w:sz w:val="20"/>
                <w:szCs w:val="18"/>
              </w:rPr>
              <w:t>is limited to the Bree’s scope of influence</w:t>
            </w:r>
            <w:r w:rsidR="00BF1364">
              <w:rPr>
                <w:rFonts w:ascii="Century Gothic" w:hAnsi="Century Gothic"/>
                <w:color w:val="auto"/>
                <w:sz w:val="20"/>
                <w:szCs w:val="18"/>
              </w:rPr>
              <w:t xml:space="preserve"> and willingness of partners to assist (e.g</w:t>
            </w:r>
            <w:r w:rsidR="008A5919">
              <w:rPr>
                <w:rFonts w:ascii="Century Gothic" w:hAnsi="Century Gothic"/>
                <w:color w:val="auto"/>
                <w:sz w:val="20"/>
                <w:szCs w:val="18"/>
              </w:rPr>
              <w:t>. sharing the survey among their staff, advertising in newsletters, etc.)</w:t>
            </w:r>
          </w:p>
          <w:p w14:paraId="1F083A6E" w14:textId="77777777" w:rsidR="00060987" w:rsidRDefault="00060987" w:rsidP="00307502">
            <w:pPr>
              <w:pStyle w:val="p1"/>
              <w:rPr>
                <w:rFonts w:ascii="Century Gothic" w:hAnsi="Century Gothic"/>
                <w:color w:val="000000" w:themeColor="text1"/>
                <w:sz w:val="20"/>
                <w:szCs w:val="18"/>
              </w:rPr>
            </w:pPr>
          </w:p>
          <w:p w14:paraId="2D0C78EA" w14:textId="2ED7A471" w:rsidR="00B85820" w:rsidRPr="00CB70B7" w:rsidRDefault="00060987" w:rsidP="00307502">
            <w:pPr>
              <w:pStyle w:val="p1"/>
              <w:rPr>
                <w:rFonts w:ascii="Century Gothic" w:hAnsi="Century Gothic"/>
                <w:color w:val="000000" w:themeColor="text1"/>
                <w:sz w:val="20"/>
                <w:szCs w:val="18"/>
              </w:rPr>
            </w:pPr>
            <w:r>
              <w:rPr>
                <w:rFonts w:ascii="Century Gothic" w:hAnsi="Century Gothic"/>
                <w:color w:val="000000" w:themeColor="text1"/>
                <w:sz w:val="20"/>
                <w:szCs w:val="18"/>
              </w:rPr>
              <w:t>Although the survey method</w:t>
            </w:r>
            <w:r w:rsidR="000672CE">
              <w:rPr>
                <w:rFonts w:ascii="Century Gothic" w:hAnsi="Century Gothic"/>
                <w:color w:val="000000" w:themeColor="text1"/>
                <w:sz w:val="20"/>
                <w:szCs w:val="18"/>
              </w:rPr>
              <w:t xml:space="preserve"> was crafted to collect data on specific </w:t>
            </w:r>
            <w:r w:rsidR="007B06E1">
              <w:rPr>
                <w:rFonts w:ascii="Century Gothic" w:hAnsi="Century Gothic"/>
                <w:color w:val="000000" w:themeColor="text1"/>
                <w:sz w:val="20"/>
                <w:szCs w:val="18"/>
              </w:rPr>
              <w:t>guidelines</w:t>
            </w:r>
            <w:r w:rsidR="000672CE">
              <w:rPr>
                <w:rFonts w:ascii="Century Gothic" w:hAnsi="Century Gothic"/>
                <w:color w:val="000000" w:themeColor="text1"/>
                <w:sz w:val="20"/>
                <w:szCs w:val="18"/>
              </w:rPr>
              <w:t xml:space="preserve"> that were implemented, w</w:t>
            </w:r>
            <w:r w:rsidR="00B85820">
              <w:rPr>
                <w:rFonts w:ascii="Century Gothic" w:hAnsi="Century Gothic"/>
                <w:color w:val="000000" w:themeColor="text1"/>
                <w:sz w:val="20"/>
                <w:szCs w:val="18"/>
              </w:rPr>
              <w:t>e had very little data on barriers specific</w:t>
            </w:r>
            <w:r w:rsidR="00125CF6">
              <w:rPr>
                <w:rFonts w:ascii="Century Gothic" w:hAnsi="Century Gothic"/>
                <w:color w:val="000000" w:themeColor="text1"/>
                <w:sz w:val="20"/>
                <w:szCs w:val="18"/>
              </w:rPr>
              <w:t xml:space="preserve"> to Bree topics</w:t>
            </w:r>
            <w:r w:rsidR="007B06E1">
              <w:rPr>
                <w:rFonts w:ascii="Century Gothic" w:hAnsi="Century Gothic"/>
                <w:color w:val="000000" w:themeColor="text1"/>
                <w:sz w:val="20"/>
                <w:szCs w:val="18"/>
              </w:rPr>
              <w:t xml:space="preserve"> due to a lack of response and a small survey response. </w:t>
            </w:r>
          </w:p>
        </w:tc>
      </w:tr>
    </w:tbl>
    <w:p w14:paraId="1A2280F7" w14:textId="5FCAD37C" w:rsidR="00E024DB" w:rsidRDefault="00E024DB" w:rsidP="00E024DB"/>
    <w:p w14:paraId="38BA52B5" w14:textId="77777777" w:rsidR="00FE4C03" w:rsidRDefault="00FE4C03" w:rsidP="00E024DB"/>
    <w:tbl>
      <w:tblPr>
        <w:tblStyle w:val="TableGrid"/>
        <w:tblW w:w="11183" w:type="dxa"/>
        <w:tblInd w:w="90" w:type="dxa"/>
        <w:tblLook w:val="04A0" w:firstRow="1" w:lastRow="0" w:firstColumn="1" w:lastColumn="0" w:noHBand="0" w:noVBand="1"/>
      </w:tblPr>
      <w:tblGrid>
        <w:gridCol w:w="11183"/>
      </w:tblGrid>
      <w:tr w:rsidR="006600E3" w:rsidRPr="00325569" w14:paraId="1CDBABF8" w14:textId="77777777" w:rsidTr="0004091A">
        <w:trPr>
          <w:trHeight w:val="405"/>
        </w:trPr>
        <w:tc>
          <w:tcPr>
            <w:tcW w:w="11183" w:type="dxa"/>
            <w:tcBorders>
              <w:top w:val="nil"/>
              <w:left w:val="nil"/>
              <w:bottom w:val="nil"/>
              <w:right w:val="nil"/>
            </w:tcBorders>
            <w:shd w:val="clear" w:color="auto" w:fill="auto"/>
            <w:vAlign w:val="center"/>
          </w:tcPr>
          <w:p w14:paraId="5DC2FFC9" w14:textId="326087AD" w:rsidR="006600E3" w:rsidRPr="00325569" w:rsidRDefault="00307502" w:rsidP="00213116">
            <w:pPr>
              <w:pStyle w:val="p1"/>
              <w:ind w:left="-100"/>
              <w:rPr>
                <w:rFonts w:ascii="Century Gothic" w:hAnsi="Century Gothic"/>
                <w:color w:val="000000" w:themeColor="text1"/>
                <w:sz w:val="18"/>
                <w:szCs w:val="18"/>
              </w:rPr>
            </w:pPr>
            <w:r>
              <w:rPr>
                <w:rFonts w:ascii="Century Gothic" w:hAnsi="Century Gothic"/>
                <w:bCs/>
                <w:color w:val="2E74B5" w:themeColor="accent5" w:themeShade="BF"/>
                <w:sz w:val="28"/>
                <w:szCs w:val="28"/>
              </w:rPr>
              <w:t>LESSONS LEARNED AND NEXT STEPS</w:t>
            </w:r>
          </w:p>
        </w:tc>
      </w:tr>
      <w:tr w:rsidR="006600E3" w:rsidRPr="00CB70B7" w14:paraId="529A471A" w14:textId="77777777" w:rsidTr="00BD4F96">
        <w:trPr>
          <w:trHeight w:val="1854"/>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785652C" w14:textId="77777777" w:rsidR="00905B51" w:rsidRDefault="00AA5F19" w:rsidP="00213116">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The Bree </w:t>
            </w:r>
            <w:r w:rsidR="003E4805">
              <w:rPr>
                <w:rFonts w:ascii="Century Gothic" w:hAnsi="Century Gothic"/>
                <w:color w:val="000000" w:themeColor="text1"/>
                <w:sz w:val="20"/>
                <w:szCs w:val="18"/>
              </w:rPr>
              <w:t>Collaborative</w:t>
            </w:r>
            <w:r>
              <w:rPr>
                <w:rFonts w:ascii="Century Gothic" w:hAnsi="Century Gothic"/>
                <w:color w:val="000000" w:themeColor="text1"/>
                <w:sz w:val="20"/>
                <w:szCs w:val="18"/>
              </w:rPr>
              <w:t xml:space="preserve"> has largely solved our technological issues by acquiring other survey </w:t>
            </w:r>
            <w:r w:rsidR="003E4805">
              <w:rPr>
                <w:rFonts w:ascii="Century Gothic" w:hAnsi="Century Gothic"/>
                <w:color w:val="000000" w:themeColor="text1"/>
                <w:sz w:val="20"/>
                <w:szCs w:val="18"/>
              </w:rPr>
              <w:t xml:space="preserve">technology. </w:t>
            </w:r>
          </w:p>
          <w:p w14:paraId="4E738DC3" w14:textId="77777777" w:rsidR="0010424D" w:rsidRDefault="0010424D" w:rsidP="00213116">
            <w:pPr>
              <w:pStyle w:val="p1"/>
              <w:rPr>
                <w:rFonts w:ascii="Century Gothic" w:hAnsi="Century Gothic"/>
                <w:color w:val="000000" w:themeColor="text1"/>
                <w:sz w:val="20"/>
                <w:szCs w:val="18"/>
              </w:rPr>
            </w:pPr>
          </w:p>
          <w:p w14:paraId="50E8BB29" w14:textId="1C712210" w:rsidR="0010424D" w:rsidRDefault="00B54101" w:rsidP="00213116">
            <w:pPr>
              <w:pStyle w:val="p1"/>
              <w:rPr>
                <w:rFonts w:ascii="Century Gothic" w:hAnsi="Century Gothic"/>
                <w:color w:val="000000" w:themeColor="text1"/>
                <w:sz w:val="20"/>
                <w:szCs w:val="18"/>
              </w:rPr>
            </w:pPr>
            <w:r>
              <w:rPr>
                <w:rFonts w:ascii="Century Gothic" w:hAnsi="Century Gothic"/>
                <w:color w:val="000000" w:themeColor="text1"/>
                <w:sz w:val="20"/>
                <w:szCs w:val="18"/>
              </w:rPr>
              <w:t>Although these survey</w:t>
            </w:r>
            <w:r w:rsidR="00794BE0">
              <w:rPr>
                <w:rFonts w:ascii="Century Gothic" w:hAnsi="Century Gothic"/>
                <w:color w:val="000000" w:themeColor="text1"/>
                <w:sz w:val="20"/>
                <w:szCs w:val="18"/>
              </w:rPr>
              <w:t>s</w:t>
            </w:r>
            <w:r>
              <w:rPr>
                <w:rFonts w:ascii="Century Gothic" w:hAnsi="Century Gothic"/>
                <w:color w:val="000000" w:themeColor="text1"/>
                <w:sz w:val="20"/>
                <w:szCs w:val="18"/>
              </w:rPr>
              <w:t xml:space="preserve"> also asked questions about facilitators for implementation, they </w:t>
            </w:r>
            <w:r w:rsidR="00B85820">
              <w:rPr>
                <w:rFonts w:ascii="Century Gothic" w:hAnsi="Century Gothic"/>
                <w:color w:val="000000" w:themeColor="text1"/>
                <w:sz w:val="20"/>
                <w:szCs w:val="18"/>
              </w:rPr>
              <w:t>were</w:t>
            </w:r>
            <w:r w:rsidR="009F69F2">
              <w:rPr>
                <w:rFonts w:ascii="Century Gothic" w:hAnsi="Century Gothic"/>
                <w:color w:val="000000" w:themeColor="text1"/>
                <w:sz w:val="20"/>
                <w:szCs w:val="18"/>
              </w:rPr>
              <w:t xml:space="preserve"> less clear to individuals filling out these surveys. Respondents often</w:t>
            </w:r>
            <w:r w:rsidR="00F81FE6">
              <w:rPr>
                <w:rFonts w:ascii="Century Gothic" w:hAnsi="Century Gothic"/>
                <w:color w:val="000000" w:themeColor="text1"/>
                <w:sz w:val="20"/>
                <w:szCs w:val="18"/>
              </w:rPr>
              <w:t xml:space="preserve"> interpreted barriers </w:t>
            </w:r>
            <w:r w:rsidR="00867E36">
              <w:rPr>
                <w:rFonts w:ascii="Century Gothic" w:hAnsi="Century Gothic"/>
                <w:color w:val="000000" w:themeColor="text1"/>
                <w:sz w:val="20"/>
                <w:szCs w:val="18"/>
              </w:rPr>
              <w:t>and facilitators as a su</w:t>
            </w:r>
            <w:r w:rsidR="00075473">
              <w:rPr>
                <w:rFonts w:ascii="Century Gothic" w:hAnsi="Century Gothic"/>
                <w:color w:val="000000" w:themeColor="text1"/>
                <w:sz w:val="20"/>
                <w:szCs w:val="18"/>
              </w:rPr>
              <w:t>pply</w:t>
            </w:r>
            <w:r w:rsidR="00867E36">
              <w:rPr>
                <w:rFonts w:ascii="Century Gothic" w:hAnsi="Century Gothic"/>
                <w:color w:val="000000" w:themeColor="text1"/>
                <w:sz w:val="20"/>
                <w:szCs w:val="18"/>
              </w:rPr>
              <w:t>/deficit question rather than two separate questions</w:t>
            </w:r>
            <w:r w:rsidR="00075473">
              <w:rPr>
                <w:rFonts w:ascii="Century Gothic" w:hAnsi="Century Gothic"/>
                <w:color w:val="000000" w:themeColor="text1"/>
                <w:sz w:val="20"/>
                <w:szCs w:val="18"/>
              </w:rPr>
              <w:t>.</w:t>
            </w:r>
            <w:r w:rsidR="00856E91">
              <w:rPr>
                <w:rFonts w:ascii="Century Gothic" w:hAnsi="Century Gothic"/>
                <w:color w:val="000000" w:themeColor="text1"/>
                <w:sz w:val="20"/>
                <w:szCs w:val="18"/>
              </w:rPr>
              <w:t xml:space="preserve"> </w:t>
            </w:r>
          </w:p>
          <w:p w14:paraId="642A14FC" w14:textId="77777777" w:rsidR="008A5919" w:rsidRDefault="008A5919" w:rsidP="00213116">
            <w:pPr>
              <w:pStyle w:val="p1"/>
              <w:rPr>
                <w:rFonts w:ascii="Century Gothic" w:hAnsi="Century Gothic"/>
                <w:color w:val="000000" w:themeColor="text1"/>
                <w:sz w:val="20"/>
                <w:szCs w:val="18"/>
              </w:rPr>
            </w:pPr>
          </w:p>
          <w:p w14:paraId="73F28244" w14:textId="5BA36C1D" w:rsidR="008A5919" w:rsidRDefault="004071AF" w:rsidP="00213116">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Only </w:t>
            </w:r>
            <w:r w:rsidR="002F5252">
              <w:rPr>
                <w:rFonts w:ascii="Century Gothic" w:hAnsi="Century Gothic"/>
                <w:color w:val="000000" w:themeColor="text1"/>
                <w:sz w:val="20"/>
                <w:szCs w:val="18"/>
              </w:rPr>
              <w:t xml:space="preserve">13 out of 27 respondents </w:t>
            </w:r>
            <w:r w:rsidR="000F2211">
              <w:rPr>
                <w:rFonts w:ascii="Century Gothic" w:hAnsi="Century Gothic"/>
                <w:color w:val="000000" w:themeColor="text1"/>
                <w:sz w:val="20"/>
                <w:szCs w:val="18"/>
              </w:rPr>
              <w:t>answered the question about barriers.</w:t>
            </w:r>
            <w:r w:rsidR="00FE42FC">
              <w:rPr>
                <w:rFonts w:ascii="Century Gothic" w:hAnsi="Century Gothic"/>
                <w:color w:val="000000" w:themeColor="text1"/>
                <w:sz w:val="20"/>
                <w:szCs w:val="18"/>
              </w:rPr>
              <w:t xml:space="preserve"> </w:t>
            </w:r>
            <w:r w:rsidR="000F2211">
              <w:rPr>
                <w:rFonts w:ascii="Century Gothic" w:hAnsi="Century Gothic"/>
                <w:color w:val="000000" w:themeColor="text1"/>
                <w:sz w:val="20"/>
                <w:szCs w:val="18"/>
              </w:rPr>
              <w:t>The Bree staff will need to craft or edit questions about facilitators to gain more knowledge about what was most predictive of the success of an implementation.</w:t>
            </w:r>
            <w:r w:rsidR="000A495A">
              <w:rPr>
                <w:rFonts w:ascii="Century Gothic" w:hAnsi="Century Gothic"/>
                <w:color w:val="000000" w:themeColor="text1"/>
                <w:sz w:val="20"/>
                <w:szCs w:val="18"/>
              </w:rPr>
              <w:t xml:space="preserve"> </w:t>
            </w:r>
          </w:p>
          <w:p w14:paraId="75745425" w14:textId="77777777" w:rsidR="00595131" w:rsidRDefault="00595131" w:rsidP="00213116">
            <w:pPr>
              <w:pStyle w:val="p1"/>
              <w:rPr>
                <w:rFonts w:ascii="Century Gothic" w:hAnsi="Century Gothic"/>
                <w:color w:val="000000" w:themeColor="text1"/>
                <w:sz w:val="20"/>
                <w:szCs w:val="18"/>
              </w:rPr>
            </w:pPr>
          </w:p>
          <w:p w14:paraId="66EFA747" w14:textId="77777777" w:rsidR="00595131" w:rsidRDefault="00595131" w:rsidP="00213116">
            <w:pPr>
              <w:pStyle w:val="p1"/>
              <w:rPr>
                <w:rFonts w:ascii="Century Gothic" w:hAnsi="Century Gothic"/>
                <w:color w:val="000000" w:themeColor="text1"/>
                <w:sz w:val="20"/>
                <w:szCs w:val="18"/>
              </w:rPr>
            </w:pPr>
            <w:r>
              <w:rPr>
                <w:rFonts w:ascii="Century Gothic" w:hAnsi="Century Gothic"/>
                <w:color w:val="000000" w:themeColor="text1"/>
                <w:sz w:val="20"/>
                <w:szCs w:val="18"/>
              </w:rPr>
              <w:t>The Bree staff also developed a survey for IT specialists, however questions about barriers were not included</w:t>
            </w:r>
            <w:r w:rsidR="005A13BA">
              <w:rPr>
                <w:rFonts w:ascii="Century Gothic" w:hAnsi="Century Gothic"/>
                <w:color w:val="000000" w:themeColor="text1"/>
                <w:sz w:val="20"/>
                <w:szCs w:val="18"/>
              </w:rPr>
              <w:t xml:space="preserve"> in this iteration. Further exploration of barriers to data capture</w:t>
            </w:r>
            <w:r w:rsidR="00617EC8">
              <w:rPr>
                <w:rFonts w:ascii="Century Gothic" w:hAnsi="Century Gothic"/>
                <w:color w:val="000000" w:themeColor="text1"/>
                <w:sz w:val="20"/>
                <w:szCs w:val="18"/>
              </w:rPr>
              <w:t xml:space="preserve"> and</w:t>
            </w:r>
            <w:r w:rsidR="005A13BA">
              <w:rPr>
                <w:rFonts w:ascii="Century Gothic" w:hAnsi="Century Gothic"/>
                <w:color w:val="000000" w:themeColor="text1"/>
                <w:sz w:val="20"/>
                <w:szCs w:val="18"/>
              </w:rPr>
              <w:t xml:space="preserve"> IT infrastructure</w:t>
            </w:r>
            <w:r w:rsidR="00617EC8">
              <w:rPr>
                <w:rFonts w:ascii="Century Gothic" w:hAnsi="Century Gothic"/>
                <w:color w:val="000000" w:themeColor="text1"/>
                <w:sz w:val="20"/>
                <w:szCs w:val="18"/>
              </w:rPr>
              <w:t xml:space="preserve"> is warranted, given that it is a common barrier identified by clinical and administrative staff. </w:t>
            </w:r>
          </w:p>
          <w:p w14:paraId="699A2EC6" w14:textId="77777777" w:rsidR="008D6086" w:rsidRDefault="008D6086" w:rsidP="00213116">
            <w:pPr>
              <w:pStyle w:val="p1"/>
              <w:rPr>
                <w:rFonts w:ascii="Century Gothic" w:hAnsi="Century Gothic"/>
                <w:color w:val="000000" w:themeColor="text1"/>
                <w:sz w:val="20"/>
                <w:szCs w:val="18"/>
              </w:rPr>
            </w:pPr>
          </w:p>
          <w:p w14:paraId="49575906" w14:textId="3A67B728" w:rsidR="00794BE0" w:rsidRDefault="008D6086" w:rsidP="00213116">
            <w:pPr>
              <w:pStyle w:val="p1"/>
              <w:rPr>
                <w:rFonts w:ascii="Century Gothic" w:hAnsi="Century Gothic"/>
                <w:color w:val="000000" w:themeColor="text1"/>
                <w:sz w:val="20"/>
                <w:szCs w:val="18"/>
              </w:rPr>
            </w:pPr>
            <w:r>
              <w:rPr>
                <w:rFonts w:ascii="Century Gothic" w:hAnsi="Century Gothic"/>
                <w:color w:val="000000" w:themeColor="text1"/>
                <w:sz w:val="20"/>
                <w:szCs w:val="18"/>
              </w:rPr>
              <w:t xml:space="preserve">A reporting initiative is being designed to gather more information about who is adopting the Bree Guidelines, so target questions about barriers can be provided to them. Strategies for learning about why organizations that know about the Bree guidelines but haven’t </w:t>
            </w:r>
            <w:r w:rsidR="00E74444">
              <w:rPr>
                <w:rFonts w:ascii="Century Gothic" w:hAnsi="Century Gothic"/>
                <w:color w:val="000000" w:themeColor="text1"/>
                <w:sz w:val="20"/>
                <w:szCs w:val="18"/>
              </w:rPr>
              <w:t>adopted</w:t>
            </w:r>
            <w:r w:rsidR="00BB69C0">
              <w:rPr>
                <w:rFonts w:ascii="Century Gothic" w:hAnsi="Century Gothic"/>
                <w:color w:val="000000" w:themeColor="text1"/>
                <w:sz w:val="20"/>
                <w:szCs w:val="18"/>
              </w:rPr>
              <w:t xml:space="preserve"> strategies to better understand topic specific barriers and facilitators </w:t>
            </w:r>
            <w:r>
              <w:rPr>
                <w:rFonts w:ascii="Century Gothic" w:hAnsi="Century Gothic"/>
                <w:color w:val="000000" w:themeColor="text1"/>
                <w:sz w:val="20"/>
                <w:szCs w:val="18"/>
              </w:rPr>
              <w:t>need to be explored</w:t>
            </w:r>
            <w:r w:rsidR="00BB69C0">
              <w:rPr>
                <w:rFonts w:ascii="Century Gothic" w:hAnsi="Century Gothic"/>
                <w:color w:val="000000" w:themeColor="text1"/>
                <w:sz w:val="20"/>
                <w:szCs w:val="18"/>
              </w:rPr>
              <w:t>.</w:t>
            </w:r>
          </w:p>
          <w:p w14:paraId="32611CCA" w14:textId="2A27AF06" w:rsidR="00794BE0" w:rsidRPr="00CB70B7" w:rsidRDefault="00794BE0" w:rsidP="00213116">
            <w:pPr>
              <w:pStyle w:val="p1"/>
              <w:rPr>
                <w:rFonts w:ascii="Century Gothic" w:hAnsi="Century Gothic"/>
                <w:color w:val="000000" w:themeColor="text1"/>
                <w:sz w:val="20"/>
                <w:szCs w:val="18"/>
              </w:rPr>
            </w:pPr>
          </w:p>
        </w:tc>
      </w:tr>
    </w:tbl>
    <w:p w14:paraId="4356A48F" w14:textId="77777777" w:rsidR="00E024DB" w:rsidRDefault="00E024DB" w:rsidP="00E024DB">
      <w:pPr>
        <w:rPr>
          <w:rFonts w:ascii="Century Gothic" w:hAnsi="Century Gothic"/>
          <w:b/>
          <w:color w:val="A6A6A6" w:themeColor="background1" w:themeShade="A6"/>
          <w:sz w:val="32"/>
          <w:szCs w:val="44"/>
        </w:rPr>
      </w:pPr>
    </w:p>
    <w:p w14:paraId="6500693E" w14:textId="77777777" w:rsidR="00B16D7B" w:rsidRDefault="00B16D7B" w:rsidP="00E024DB">
      <w:pPr>
        <w:rPr>
          <w:rFonts w:ascii="Century Gothic" w:hAnsi="Century Gothic"/>
          <w:b/>
          <w:color w:val="A6A6A6" w:themeColor="background1" w:themeShade="A6"/>
          <w:sz w:val="32"/>
          <w:szCs w:val="44"/>
        </w:rPr>
      </w:pPr>
    </w:p>
    <w:p w14:paraId="31FB50EB" w14:textId="77777777" w:rsidR="00B16D7B" w:rsidRPr="006B5ECE" w:rsidRDefault="00B16D7B" w:rsidP="00E024DB">
      <w:pPr>
        <w:rPr>
          <w:rFonts w:ascii="Century Gothic" w:hAnsi="Century Gothic"/>
          <w:b/>
          <w:color w:val="A6A6A6" w:themeColor="background1" w:themeShade="A6"/>
          <w:sz w:val="32"/>
          <w:szCs w:val="44"/>
        </w:rPr>
      </w:pPr>
    </w:p>
    <w:tbl>
      <w:tblPr>
        <w:tblStyle w:val="TableGrid"/>
        <w:tblW w:w="11183" w:type="dxa"/>
        <w:tblInd w:w="90" w:type="dxa"/>
        <w:tblLook w:val="04A0" w:firstRow="1" w:lastRow="0" w:firstColumn="1" w:lastColumn="0" w:noHBand="0" w:noVBand="1"/>
      </w:tblPr>
      <w:tblGrid>
        <w:gridCol w:w="11183"/>
      </w:tblGrid>
      <w:tr w:rsidR="006A3452" w:rsidRPr="00325569" w14:paraId="56669577" w14:textId="77777777" w:rsidTr="006A3452">
        <w:trPr>
          <w:trHeight w:val="405"/>
        </w:trPr>
        <w:tc>
          <w:tcPr>
            <w:tcW w:w="11183" w:type="dxa"/>
            <w:tcBorders>
              <w:top w:val="nil"/>
              <w:left w:val="nil"/>
              <w:bottom w:val="nil"/>
              <w:right w:val="nil"/>
            </w:tcBorders>
            <w:shd w:val="clear" w:color="auto" w:fill="auto"/>
            <w:vAlign w:val="center"/>
          </w:tcPr>
          <w:p w14:paraId="02FA4646" w14:textId="27F97927" w:rsidR="006A3452" w:rsidRPr="00A0148E" w:rsidRDefault="006A3452" w:rsidP="0053389C">
            <w:pPr>
              <w:pStyle w:val="p1"/>
              <w:ind w:left="-100"/>
              <w:rPr>
                <w:rFonts w:ascii="Century Gothic" w:hAnsi="Century Gothic"/>
                <w:b/>
                <w:color w:val="000000" w:themeColor="text1"/>
                <w:sz w:val="18"/>
                <w:szCs w:val="18"/>
              </w:rPr>
            </w:pPr>
            <w:r w:rsidRPr="00A0148E">
              <w:rPr>
                <w:rFonts w:ascii="Century Gothic" w:hAnsi="Century Gothic"/>
                <w:b/>
                <w:color w:val="2E74B5" w:themeColor="accent5" w:themeShade="BF"/>
                <w:sz w:val="28"/>
                <w:szCs w:val="28"/>
              </w:rPr>
              <w:lastRenderedPageBreak/>
              <w:t>CALL</w:t>
            </w:r>
            <w:r w:rsidR="009E70A0" w:rsidRPr="00A0148E">
              <w:rPr>
                <w:rFonts w:ascii="Century Gothic" w:hAnsi="Century Gothic"/>
                <w:b/>
                <w:color w:val="2E74B5" w:themeColor="accent5" w:themeShade="BF"/>
                <w:sz w:val="28"/>
                <w:szCs w:val="28"/>
              </w:rPr>
              <w:t>S</w:t>
            </w:r>
            <w:r w:rsidRPr="00A0148E">
              <w:rPr>
                <w:rFonts w:ascii="Century Gothic" w:hAnsi="Century Gothic"/>
                <w:b/>
                <w:color w:val="2E74B5" w:themeColor="accent5" w:themeShade="BF"/>
                <w:sz w:val="28"/>
                <w:szCs w:val="28"/>
              </w:rPr>
              <w:t xml:space="preserve"> TO ACTION</w:t>
            </w:r>
            <w:r w:rsidR="00A0148E" w:rsidRPr="00A0148E">
              <w:rPr>
                <w:rFonts w:ascii="Century Gothic" w:hAnsi="Century Gothic"/>
                <w:b/>
                <w:color w:val="2E74B5" w:themeColor="accent5" w:themeShade="BF"/>
                <w:sz w:val="28"/>
                <w:szCs w:val="28"/>
              </w:rPr>
              <w:t xml:space="preserve"> 1</w:t>
            </w:r>
          </w:p>
        </w:tc>
      </w:tr>
      <w:tr w:rsidR="006A3452" w:rsidRPr="00CB70B7" w14:paraId="402891CF" w14:textId="77777777" w:rsidTr="006A3452">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880CC40" w14:textId="3FCCD242" w:rsidR="006A3452" w:rsidRPr="00A0148E" w:rsidRDefault="00D16C65" w:rsidP="00A0148E">
            <w:pPr>
              <w:pStyle w:val="p1"/>
              <w:rPr>
                <w:rFonts w:ascii="Century Gothic" w:hAnsi="Century Gothic"/>
                <w:b/>
                <w:color w:val="000000" w:themeColor="text1"/>
                <w:sz w:val="20"/>
                <w:szCs w:val="18"/>
              </w:rPr>
            </w:pPr>
            <w:r w:rsidRPr="00A0148E">
              <w:rPr>
                <w:rFonts w:ascii="Century Gothic" w:hAnsi="Century Gothic"/>
                <w:b/>
                <w:color w:val="auto"/>
                <w:sz w:val="20"/>
                <w:szCs w:val="18"/>
              </w:rPr>
              <w:t xml:space="preserve">Bree </w:t>
            </w:r>
            <w:r w:rsidR="00E74444" w:rsidRPr="00A0148E">
              <w:rPr>
                <w:rFonts w:ascii="Century Gothic" w:hAnsi="Century Gothic"/>
                <w:b/>
                <w:color w:val="auto"/>
                <w:sz w:val="20"/>
                <w:szCs w:val="18"/>
              </w:rPr>
              <w:t>C</w:t>
            </w:r>
            <w:r w:rsidRPr="00A0148E">
              <w:rPr>
                <w:rFonts w:ascii="Century Gothic" w:hAnsi="Century Gothic"/>
                <w:b/>
                <w:color w:val="auto"/>
                <w:sz w:val="20"/>
                <w:szCs w:val="18"/>
              </w:rPr>
              <w:t xml:space="preserve">ollaborative members </w:t>
            </w:r>
            <w:r w:rsidR="001C3BBB" w:rsidRPr="00A0148E">
              <w:rPr>
                <w:rFonts w:ascii="Century Gothic" w:hAnsi="Century Gothic"/>
                <w:b/>
                <w:color w:val="auto"/>
                <w:sz w:val="20"/>
                <w:szCs w:val="18"/>
              </w:rPr>
              <w:t>can assist in this work by helping define a list of barriers or categories for barriers</w:t>
            </w:r>
            <w:r w:rsidR="00EE69E9" w:rsidRPr="00A0148E">
              <w:rPr>
                <w:rFonts w:ascii="Century Gothic" w:hAnsi="Century Gothic"/>
                <w:b/>
                <w:color w:val="auto"/>
                <w:sz w:val="20"/>
                <w:szCs w:val="18"/>
              </w:rPr>
              <w:t xml:space="preserve"> for our next round of surveys. </w:t>
            </w:r>
            <w:r w:rsidR="00D15012" w:rsidRPr="00A0148E">
              <w:rPr>
                <w:rFonts w:ascii="Century Gothic" w:hAnsi="Century Gothic"/>
                <w:b/>
                <w:color w:val="auto"/>
                <w:sz w:val="20"/>
                <w:szCs w:val="18"/>
              </w:rPr>
              <w:t xml:space="preserve">Bree staff will be providing an opportunity for this towards the end of 2024. </w:t>
            </w:r>
          </w:p>
        </w:tc>
      </w:tr>
    </w:tbl>
    <w:p w14:paraId="3225C31A" w14:textId="77777777" w:rsidR="00A0148E" w:rsidRDefault="00A0148E"/>
    <w:tbl>
      <w:tblPr>
        <w:tblStyle w:val="TableGrid"/>
        <w:tblW w:w="11183" w:type="dxa"/>
        <w:tblInd w:w="90" w:type="dxa"/>
        <w:tblLook w:val="04A0" w:firstRow="1" w:lastRow="0" w:firstColumn="1" w:lastColumn="0" w:noHBand="0" w:noVBand="1"/>
      </w:tblPr>
      <w:tblGrid>
        <w:gridCol w:w="11183"/>
      </w:tblGrid>
      <w:tr w:rsidR="00F21B9E" w:rsidRPr="00325569" w14:paraId="743B702D" w14:textId="77777777" w:rsidTr="00903E61">
        <w:trPr>
          <w:trHeight w:val="405"/>
        </w:trPr>
        <w:tc>
          <w:tcPr>
            <w:tcW w:w="11183" w:type="dxa"/>
            <w:tcBorders>
              <w:top w:val="nil"/>
              <w:left w:val="nil"/>
              <w:bottom w:val="nil"/>
              <w:right w:val="nil"/>
            </w:tcBorders>
            <w:shd w:val="clear" w:color="auto" w:fill="auto"/>
            <w:vAlign w:val="center"/>
          </w:tcPr>
          <w:p w14:paraId="5DA09330" w14:textId="0DE09BC4" w:rsidR="00F21B9E" w:rsidRPr="00A0148E" w:rsidRDefault="00F21B9E" w:rsidP="00903E61">
            <w:pPr>
              <w:pStyle w:val="p1"/>
              <w:ind w:left="-100"/>
              <w:rPr>
                <w:rFonts w:ascii="Century Gothic" w:hAnsi="Century Gothic"/>
                <w:b/>
                <w:color w:val="000000" w:themeColor="text1"/>
                <w:sz w:val="18"/>
                <w:szCs w:val="18"/>
              </w:rPr>
            </w:pPr>
            <w:r w:rsidRPr="00A0148E">
              <w:rPr>
                <w:rFonts w:ascii="Century Gothic" w:hAnsi="Century Gothic"/>
                <w:b/>
                <w:color w:val="2E74B5" w:themeColor="accent5" w:themeShade="BF"/>
                <w:sz w:val="28"/>
                <w:szCs w:val="28"/>
              </w:rPr>
              <w:t>CALL TO ACTION</w:t>
            </w:r>
            <w:r w:rsidR="00A0148E" w:rsidRPr="00A0148E">
              <w:rPr>
                <w:rFonts w:ascii="Century Gothic" w:hAnsi="Century Gothic"/>
                <w:b/>
                <w:color w:val="2E74B5" w:themeColor="accent5" w:themeShade="BF"/>
                <w:sz w:val="28"/>
                <w:szCs w:val="28"/>
              </w:rPr>
              <w:t xml:space="preserve"> 2</w:t>
            </w:r>
          </w:p>
        </w:tc>
      </w:tr>
      <w:tr w:rsidR="00F21B9E" w:rsidRPr="00CB70B7" w14:paraId="18AA1246" w14:textId="77777777" w:rsidTr="00903E61">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C5A8B97" w14:textId="28EE51BF" w:rsidR="00F21B9E" w:rsidRPr="00A0148E" w:rsidRDefault="00F21B9E" w:rsidP="00A0148E">
            <w:pPr>
              <w:pStyle w:val="p1"/>
              <w:rPr>
                <w:rFonts w:ascii="Century Gothic" w:hAnsi="Century Gothic"/>
                <w:b/>
                <w:color w:val="000000" w:themeColor="text1"/>
                <w:sz w:val="20"/>
                <w:szCs w:val="18"/>
              </w:rPr>
            </w:pPr>
            <w:r w:rsidRPr="00A0148E">
              <w:rPr>
                <w:rFonts w:ascii="Century Gothic" w:hAnsi="Century Gothic"/>
                <w:b/>
                <w:color w:val="000000" w:themeColor="text1"/>
                <w:sz w:val="20"/>
                <w:szCs w:val="18"/>
              </w:rPr>
              <w:t xml:space="preserve">Bree Collaborative members can assist with data collection by participating in </w:t>
            </w:r>
            <w:r w:rsidR="00546982">
              <w:rPr>
                <w:rFonts w:ascii="Century Gothic" w:hAnsi="Century Gothic"/>
                <w:b/>
                <w:color w:val="000000" w:themeColor="text1"/>
                <w:sz w:val="20"/>
                <w:szCs w:val="18"/>
              </w:rPr>
              <w:t>reportin</w:t>
            </w:r>
            <w:r w:rsidR="005364E6">
              <w:rPr>
                <w:rFonts w:ascii="Century Gothic" w:hAnsi="Century Gothic"/>
                <w:b/>
                <w:color w:val="000000" w:themeColor="text1"/>
                <w:sz w:val="20"/>
                <w:szCs w:val="18"/>
              </w:rPr>
              <w:t>g</w:t>
            </w:r>
            <w:r w:rsidR="002815F7">
              <w:rPr>
                <w:rFonts w:ascii="Century Gothic" w:hAnsi="Century Gothic"/>
                <w:b/>
                <w:color w:val="000000" w:themeColor="text1"/>
                <w:sz w:val="20"/>
                <w:szCs w:val="18"/>
              </w:rPr>
              <w:t xml:space="preserve"> their </w:t>
            </w:r>
            <w:r w:rsidR="005364E6">
              <w:rPr>
                <w:rFonts w:ascii="Century Gothic" w:hAnsi="Century Gothic"/>
                <w:b/>
                <w:color w:val="000000" w:themeColor="text1"/>
                <w:sz w:val="20"/>
                <w:szCs w:val="18"/>
              </w:rPr>
              <w:t xml:space="preserve">PERINATAL BEHAVIORAL HEALTH BASELINE DATA </w:t>
            </w:r>
            <w:r w:rsidR="002815F7">
              <w:rPr>
                <w:rFonts w:ascii="Century Gothic" w:hAnsi="Century Gothic"/>
                <w:b/>
                <w:color w:val="000000" w:themeColor="text1"/>
                <w:sz w:val="20"/>
                <w:szCs w:val="18"/>
              </w:rPr>
              <w:t xml:space="preserve">or </w:t>
            </w:r>
            <w:r w:rsidR="00546982">
              <w:rPr>
                <w:rFonts w:ascii="Century Gothic" w:hAnsi="Century Gothic"/>
                <w:b/>
                <w:color w:val="000000" w:themeColor="text1"/>
                <w:sz w:val="20"/>
                <w:szCs w:val="18"/>
              </w:rPr>
              <w:t>for awards</w:t>
            </w:r>
            <w:r w:rsidR="002815F7">
              <w:rPr>
                <w:rFonts w:ascii="Century Gothic" w:hAnsi="Century Gothic"/>
                <w:b/>
                <w:color w:val="000000" w:themeColor="text1"/>
                <w:sz w:val="20"/>
                <w:szCs w:val="18"/>
              </w:rPr>
              <w:t xml:space="preserve"> for other topics</w:t>
            </w:r>
            <w:r w:rsidR="00715515">
              <w:rPr>
                <w:rFonts w:ascii="Century Gothic" w:hAnsi="Century Gothic"/>
                <w:b/>
                <w:color w:val="000000" w:themeColor="text1"/>
                <w:sz w:val="20"/>
                <w:szCs w:val="18"/>
              </w:rPr>
              <w:t xml:space="preserve"> throughout 2024. </w:t>
            </w:r>
            <w:r w:rsidR="00546982">
              <w:rPr>
                <w:rFonts w:ascii="Century Gothic" w:hAnsi="Century Gothic"/>
                <w:b/>
                <w:color w:val="000000" w:themeColor="text1"/>
                <w:sz w:val="20"/>
                <w:szCs w:val="18"/>
              </w:rPr>
              <w:t xml:space="preserve"> </w:t>
            </w:r>
            <w:hyperlink r:id="rId17" w:history="1">
              <w:r w:rsidR="00715515" w:rsidRPr="00F70D15">
                <w:rPr>
                  <w:rStyle w:val="Hyperlink"/>
                  <w:rFonts w:ascii="Century Gothic" w:hAnsi="Century Gothic"/>
                  <w:b/>
                  <w:sz w:val="20"/>
                  <w:szCs w:val="18"/>
                </w:rPr>
                <w:t>https://www.qualityhealth.org/bree/evaluation/bree-collaborative-awards/</w:t>
              </w:r>
            </w:hyperlink>
            <w:r w:rsidR="00715515">
              <w:rPr>
                <w:rFonts w:ascii="Century Gothic" w:hAnsi="Century Gothic"/>
                <w:b/>
                <w:color w:val="000000" w:themeColor="text1"/>
                <w:sz w:val="20"/>
                <w:szCs w:val="18"/>
              </w:rPr>
              <w:t xml:space="preserve"> </w:t>
            </w:r>
          </w:p>
        </w:tc>
      </w:tr>
    </w:tbl>
    <w:p w14:paraId="20E072CB" w14:textId="77777777" w:rsidR="00F21B9E" w:rsidRDefault="00F21B9E"/>
    <w:tbl>
      <w:tblPr>
        <w:tblStyle w:val="TableGrid"/>
        <w:tblW w:w="11183" w:type="dxa"/>
        <w:tblInd w:w="90" w:type="dxa"/>
        <w:tblLook w:val="04A0" w:firstRow="1" w:lastRow="0" w:firstColumn="1" w:lastColumn="0" w:noHBand="0" w:noVBand="1"/>
      </w:tblPr>
      <w:tblGrid>
        <w:gridCol w:w="11183"/>
      </w:tblGrid>
      <w:tr w:rsidR="00A0148E" w:rsidRPr="00325569" w14:paraId="669A0282" w14:textId="77777777" w:rsidTr="00903E61">
        <w:trPr>
          <w:trHeight w:val="405"/>
        </w:trPr>
        <w:tc>
          <w:tcPr>
            <w:tcW w:w="11183" w:type="dxa"/>
            <w:tcBorders>
              <w:top w:val="nil"/>
              <w:left w:val="nil"/>
              <w:bottom w:val="nil"/>
              <w:right w:val="nil"/>
            </w:tcBorders>
            <w:shd w:val="clear" w:color="auto" w:fill="auto"/>
            <w:vAlign w:val="center"/>
          </w:tcPr>
          <w:p w14:paraId="0BEEE37E" w14:textId="23D62DA1" w:rsidR="00A0148E" w:rsidRPr="00A0148E" w:rsidRDefault="00A0148E" w:rsidP="00903E61">
            <w:pPr>
              <w:pStyle w:val="p1"/>
              <w:ind w:left="-100"/>
              <w:rPr>
                <w:rFonts w:ascii="Century Gothic" w:hAnsi="Century Gothic"/>
                <w:b/>
                <w:color w:val="000000" w:themeColor="text1"/>
                <w:sz w:val="18"/>
                <w:szCs w:val="18"/>
              </w:rPr>
            </w:pPr>
            <w:r w:rsidRPr="00A0148E">
              <w:rPr>
                <w:rFonts w:ascii="Century Gothic" w:hAnsi="Century Gothic"/>
                <w:b/>
                <w:color w:val="2E74B5" w:themeColor="accent5" w:themeShade="BF"/>
                <w:sz w:val="28"/>
                <w:szCs w:val="28"/>
              </w:rPr>
              <w:t xml:space="preserve">CALL TO ACTION </w:t>
            </w:r>
            <w:r w:rsidR="00546982">
              <w:rPr>
                <w:rFonts w:ascii="Century Gothic" w:hAnsi="Century Gothic"/>
                <w:b/>
                <w:color w:val="2E74B5" w:themeColor="accent5" w:themeShade="BF"/>
                <w:sz w:val="28"/>
                <w:szCs w:val="28"/>
              </w:rPr>
              <w:t>3</w:t>
            </w:r>
          </w:p>
        </w:tc>
      </w:tr>
      <w:tr w:rsidR="00A0148E" w:rsidRPr="00CB70B7" w14:paraId="10651EA8" w14:textId="77777777" w:rsidTr="00903E61">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788A66B" w14:textId="3FA9A1DE" w:rsidR="00A0148E" w:rsidRPr="00A0148E" w:rsidRDefault="00A0148E" w:rsidP="00A0148E">
            <w:pPr>
              <w:pStyle w:val="p1"/>
              <w:rPr>
                <w:rFonts w:ascii="Century Gothic" w:hAnsi="Century Gothic"/>
                <w:b/>
                <w:color w:val="000000" w:themeColor="text1"/>
                <w:sz w:val="20"/>
                <w:szCs w:val="18"/>
              </w:rPr>
            </w:pPr>
            <w:r w:rsidRPr="00A0148E">
              <w:rPr>
                <w:rFonts w:ascii="Century Gothic" w:hAnsi="Century Gothic"/>
                <w:b/>
                <w:color w:val="000000" w:themeColor="text1"/>
                <w:sz w:val="20"/>
                <w:szCs w:val="18"/>
              </w:rPr>
              <w:t xml:space="preserve">Currently organizations can report </w:t>
            </w:r>
            <w:r w:rsidR="005F74E1">
              <w:rPr>
                <w:rFonts w:ascii="Century Gothic" w:hAnsi="Century Gothic"/>
                <w:b/>
                <w:color w:val="000000" w:themeColor="text1"/>
                <w:sz w:val="20"/>
                <w:szCs w:val="18"/>
              </w:rPr>
              <w:t>GUIDELINE</w:t>
            </w:r>
            <w:r w:rsidR="008F07DB">
              <w:rPr>
                <w:rFonts w:ascii="Century Gothic" w:hAnsi="Century Gothic"/>
                <w:b/>
                <w:color w:val="000000" w:themeColor="text1"/>
                <w:sz w:val="20"/>
                <w:szCs w:val="18"/>
              </w:rPr>
              <w:t xml:space="preserve"> USE</w:t>
            </w:r>
            <w:r w:rsidRPr="00A0148E">
              <w:rPr>
                <w:rFonts w:ascii="Century Gothic" w:hAnsi="Century Gothic"/>
                <w:b/>
                <w:color w:val="000000" w:themeColor="text1"/>
                <w:sz w:val="20"/>
                <w:szCs w:val="18"/>
              </w:rPr>
              <w:t xml:space="preserve">, submit </w:t>
            </w:r>
            <w:r w:rsidR="008F07DB">
              <w:rPr>
                <w:rFonts w:ascii="Century Gothic" w:hAnsi="Century Gothic"/>
                <w:b/>
                <w:color w:val="000000" w:themeColor="text1"/>
                <w:sz w:val="20"/>
                <w:szCs w:val="18"/>
              </w:rPr>
              <w:t>EXAMPLES OF SURVEYS</w:t>
            </w:r>
            <w:r w:rsidRPr="00A0148E">
              <w:rPr>
                <w:rFonts w:ascii="Century Gothic" w:hAnsi="Century Gothic"/>
                <w:b/>
                <w:color w:val="000000" w:themeColor="text1"/>
                <w:sz w:val="20"/>
                <w:szCs w:val="18"/>
              </w:rPr>
              <w:t xml:space="preserve"> or </w:t>
            </w:r>
            <w:r w:rsidR="008F07DB">
              <w:rPr>
                <w:rFonts w:ascii="Century Gothic" w:hAnsi="Century Gothic"/>
                <w:b/>
                <w:color w:val="000000" w:themeColor="text1"/>
                <w:sz w:val="20"/>
                <w:szCs w:val="18"/>
              </w:rPr>
              <w:t>SURVEY QUESTIONS</w:t>
            </w:r>
            <w:r w:rsidRPr="00A0148E">
              <w:rPr>
                <w:rFonts w:ascii="Century Gothic" w:hAnsi="Century Gothic"/>
                <w:b/>
                <w:color w:val="000000" w:themeColor="text1"/>
                <w:sz w:val="20"/>
                <w:szCs w:val="18"/>
              </w:rPr>
              <w:t xml:space="preserve"> used in their evaluations, or submit </w:t>
            </w:r>
            <w:r w:rsidR="008F07DB">
              <w:rPr>
                <w:rFonts w:ascii="Century Gothic" w:hAnsi="Century Gothic"/>
                <w:b/>
                <w:color w:val="000000" w:themeColor="text1"/>
                <w:sz w:val="20"/>
                <w:szCs w:val="18"/>
              </w:rPr>
              <w:t>RESULTS OF AN EVALUATION</w:t>
            </w:r>
            <w:r w:rsidRPr="00A0148E">
              <w:rPr>
                <w:rFonts w:ascii="Century Gothic" w:hAnsi="Century Gothic"/>
                <w:b/>
                <w:color w:val="000000" w:themeColor="text1"/>
                <w:sz w:val="20"/>
                <w:szCs w:val="18"/>
              </w:rPr>
              <w:t xml:space="preserve"> through our Submission Portal: </w:t>
            </w:r>
            <w:hyperlink r:id="rId18" w:history="1">
              <w:r w:rsidRPr="00A0148E">
                <w:rPr>
                  <w:rStyle w:val="Hyperlink"/>
                  <w:rFonts w:ascii="Century Gothic" w:hAnsi="Century Gothic"/>
                  <w:b/>
                  <w:sz w:val="20"/>
                  <w:szCs w:val="18"/>
                </w:rPr>
                <w:t>https://www.qualityhealth.org/bree/evaluation/submission-portal/</w:t>
              </w:r>
            </w:hyperlink>
            <w:r w:rsidRPr="00A0148E">
              <w:rPr>
                <w:rFonts w:ascii="Century Gothic" w:hAnsi="Century Gothic"/>
                <w:b/>
                <w:color w:val="000000" w:themeColor="text1"/>
                <w:sz w:val="20"/>
                <w:szCs w:val="18"/>
              </w:rPr>
              <w:t xml:space="preserve"> </w:t>
            </w:r>
          </w:p>
        </w:tc>
      </w:tr>
    </w:tbl>
    <w:p w14:paraId="59A43FE2" w14:textId="77777777" w:rsidR="00A0148E" w:rsidRDefault="00A0148E"/>
    <w:tbl>
      <w:tblPr>
        <w:tblStyle w:val="TableGrid"/>
        <w:tblW w:w="11183" w:type="dxa"/>
        <w:tblInd w:w="90" w:type="dxa"/>
        <w:tblLook w:val="04A0" w:firstRow="1" w:lastRow="0" w:firstColumn="1" w:lastColumn="0" w:noHBand="0" w:noVBand="1"/>
      </w:tblPr>
      <w:tblGrid>
        <w:gridCol w:w="11183"/>
      </w:tblGrid>
      <w:tr w:rsidR="00B16D7B" w:rsidRPr="00325569" w14:paraId="3FA40D16" w14:textId="77777777" w:rsidTr="00903E61">
        <w:trPr>
          <w:trHeight w:val="405"/>
        </w:trPr>
        <w:tc>
          <w:tcPr>
            <w:tcW w:w="11183" w:type="dxa"/>
            <w:tcBorders>
              <w:top w:val="nil"/>
              <w:left w:val="nil"/>
              <w:bottom w:val="nil"/>
              <w:right w:val="nil"/>
            </w:tcBorders>
            <w:shd w:val="clear" w:color="auto" w:fill="auto"/>
            <w:vAlign w:val="center"/>
          </w:tcPr>
          <w:p w14:paraId="688E8C2A" w14:textId="0111849F" w:rsidR="00B16D7B" w:rsidRPr="00A0148E" w:rsidRDefault="00B16D7B" w:rsidP="00903E61">
            <w:pPr>
              <w:pStyle w:val="p1"/>
              <w:ind w:left="-100"/>
              <w:rPr>
                <w:rFonts w:ascii="Century Gothic" w:hAnsi="Century Gothic"/>
                <w:b/>
                <w:color w:val="000000" w:themeColor="text1"/>
                <w:sz w:val="18"/>
                <w:szCs w:val="18"/>
              </w:rPr>
            </w:pPr>
            <w:r w:rsidRPr="00A0148E">
              <w:rPr>
                <w:rFonts w:ascii="Century Gothic" w:hAnsi="Century Gothic"/>
                <w:b/>
                <w:color w:val="2E74B5" w:themeColor="accent5" w:themeShade="BF"/>
                <w:sz w:val="28"/>
                <w:szCs w:val="28"/>
              </w:rPr>
              <w:t xml:space="preserve">CALL TO ACTION </w:t>
            </w:r>
            <w:r w:rsidR="00546982">
              <w:rPr>
                <w:rFonts w:ascii="Century Gothic" w:hAnsi="Century Gothic"/>
                <w:b/>
                <w:color w:val="2E74B5" w:themeColor="accent5" w:themeShade="BF"/>
                <w:sz w:val="28"/>
                <w:szCs w:val="28"/>
              </w:rPr>
              <w:t>4</w:t>
            </w:r>
          </w:p>
        </w:tc>
      </w:tr>
      <w:tr w:rsidR="00B16D7B" w:rsidRPr="00CB70B7" w14:paraId="1D120D03" w14:textId="77777777" w:rsidTr="00903E61">
        <w:trPr>
          <w:trHeight w:val="963"/>
        </w:trPr>
        <w:tc>
          <w:tcPr>
            <w:tcW w:w="11183" w:type="dxa"/>
            <w:tcBorders>
              <w:top w:val="nil"/>
              <w:left w:val="nil"/>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396D911" w14:textId="4BCB4FE2" w:rsidR="00B16D7B" w:rsidRPr="00A0148E" w:rsidRDefault="00546982" w:rsidP="00903E61">
            <w:pPr>
              <w:pStyle w:val="p1"/>
              <w:rPr>
                <w:rFonts w:ascii="Century Gothic" w:hAnsi="Century Gothic"/>
                <w:b/>
                <w:color w:val="000000" w:themeColor="text1"/>
                <w:sz w:val="20"/>
                <w:szCs w:val="18"/>
              </w:rPr>
            </w:pPr>
            <w:r>
              <w:rPr>
                <w:rFonts w:ascii="Century Gothic" w:hAnsi="Century Gothic"/>
                <w:b/>
                <w:color w:val="000000" w:themeColor="text1"/>
                <w:sz w:val="20"/>
                <w:szCs w:val="18"/>
              </w:rPr>
              <w:t>Organizations can</w:t>
            </w:r>
            <w:r w:rsidR="0041178C">
              <w:rPr>
                <w:rFonts w:ascii="Century Gothic" w:hAnsi="Century Gothic"/>
                <w:b/>
                <w:color w:val="000000" w:themeColor="text1"/>
                <w:sz w:val="20"/>
                <w:szCs w:val="18"/>
              </w:rPr>
              <w:t xml:space="preserve"> submit or participate in </w:t>
            </w:r>
            <w:r w:rsidR="005F74E1">
              <w:rPr>
                <w:rFonts w:ascii="Century Gothic" w:hAnsi="Century Gothic"/>
                <w:b/>
                <w:color w:val="000000" w:themeColor="text1"/>
                <w:sz w:val="20"/>
                <w:szCs w:val="18"/>
              </w:rPr>
              <w:t>CASE STUDIES</w:t>
            </w:r>
            <w:r w:rsidR="005364E6">
              <w:rPr>
                <w:rFonts w:ascii="Century Gothic" w:hAnsi="Century Gothic"/>
                <w:b/>
                <w:color w:val="000000" w:themeColor="text1"/>
                <w:sz w:val="20"/>
                <w:szCs w:val="18"/>
              </w:rPr>
              <w:t xml:space="preserve"> by contacting Karie Nicholas at </w:t>
            </w:r>
            <w:hyperlink r:id="rId19" w:history="1">
              <w:r w:rsidR="005364E6" w:rsidRPr="00F70D15">
                <w:rPr>
                  <w:rStyle w:val="Hyperlink"/>
                  <w:rFonts w:ascii="Century Gothic" w:hAnsi="Century Gothic"/>
                  <w:b/>
                  <w:sz w:val="20"/>
                  <w:szCs w:val="18"/>
                </w:rPr>
                <w:t>knicholas@qualityhealth.org</w:t>
              </w:r>
            </w:hyperlink>
            <w:r w:rsidR="005364E6">
              <w:rPr>
                <w:rFonts w:ascii="Century Gothic" w:hAnsi="Century Gothic"/>
                <w:b/>
                <w:color w:val="000000" w:themeColor="text1"/>
                <w:sz w:val="20"/>
                <w:szCs w:val="18"/>
              </w:rPr>
              <w:t xml:space="preserve"> </w:t>
            </w:r>
          </w:p>
        </w:tc>
      </w:tr>
    </w:tbl>
    <w:p w14:paraId="3B167B8C" w14:textId="77777777" w:rsidR="00B16D7B" w:rsidRDefault="00B16D7B"/>
    <w:sectPr w:rsidR="00B16D7B" w:rsidSect="00740164">
      <w:footerReference w:type="default" r:id="rId20"/>
      <w:pgSz w:w="12240" w:h="15840"/>
      <w:pgMar w:top="468"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758FFF" w14:textId="77777777" w:rsidR="00CE4011" w:rsidRDefault="00CE4011" w:rsidP="00FA5A19">
      <w:r>
        <w:separator/>
      </w:r>
    </w:p>
  </w:endnote>
  <w:endnote w:type="continuationSeparator" w:id="0">
    <w:p w14:paraId="26E8CE98" w14:textId="77777777" w:rsidR="00CE4011" w:rsidRDefault="00CE4011" w:rsidP="00FA5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9384091"/>
      <w:docPartObj>
        <w:docPartGallery w:val="Page Numbers (Bottom of Page)"/>
        <w:docPartUnique/>
      </w:docPartObj>
    </w:sdtPr>
    <w:sdtEndPr>
      <w:rPr>
        <w:color w:val="7F7F7F" w:themeColor="background1" w:themeShade="7F"/>
        <w:spacing w:val="60"/>
      </w:rPr>
    </w:sdtEndPr>
    <w:sdtContent>
      <w:p w14:paraId="21A73C15" w14:textId="0D1FCF95" w:rsidR="00B16D7B" w:rsidRDefault="00B16D7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5ECBA7D" w14:textId="77777777" w:rsidR="00B16D7B" w:rsidRDefault="00B16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4EF791" w14:textId="77777777" w:rsidR="00CE4011" w:rsidRDefault="00CE4011" w:rsidP="00FA5A19">
      <w:r>
        <w:separator/>
      </w:r>
    </w:p>
  </w:footnote>
  <w:footnote w:type="continuationSeparator" w:id="0">
    <w:p w14:paraId="65D8B118" w14:textId="77777777" w:rsidR="00CE4011" w:rsidRDefault="00CE4011" w:rsidP="00FA5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82C6F"/>
    <w:multiLevelType w:val="hybridMultilevel"/>
    <w:tmpl w:val="C0DA183A"/>
    <w:lvl w:ilvl="0" w:tplc="04090011">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A161D8"/>
    <w:multiLevelType w:val="hybridMultilevel"/>
    <w:tmpl w:val="B18E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80455"/>
    <w:multiLevelType w:val="hybridMultilevel"/>
    <w:tmpl w:val="A8705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92D68"/>
    <w:multiLevelType w:val="hybridMultilevel"/>
    <w:tmpl w:val="C0DA183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53F114F"/>
    <w:multiLevelType w:val="hybridMultilevel"/>
    <w:tmpl w:val="D9C873A0"/>
    <w:lvl w:ilvl="0" w:tplc="C1626BF4">
      <w:start w:val="1"/>
      <w:numFmt w:val="decimal"/>
      <w:lvlText w:val="%1."/>
      <w:lvlJc w:val="left"/>
      <w:pPr>
        <w:ind w:left="260" w:hanging="360"/>
      </w:pPr>
      <w:rPr>
        <w:rFonts w:hint="default"/>
      </w:rPr>
    </w:lvl>
    <w:lvl w:ilvl="1" w:tplc="04090019" w:tentative="1">
      <w:start w:val="1"/>
      <w:numFmt w:val="lowerLetter"/>
      <w:lvlText w:val="%2."/>
      <w:lvlJc w:val="left"/>
      <w:pPr>
        <w:ind w:left="980" w:hanging="360"/>
      </w:pPr>
    </w:lvl>
    <w:lvl w:ilvl="2" w:tplc="0409001B" w:tentative="1">
      <w:start w:val="1"/>
      <w:numFmt w:val="lowerRoman"/>
      <w:lvlText w:val="%3."/>
      <w:lvlJc w:val="right"/>
      <w:pPr>
        <w:ind w:left="1700" w:hanging="180"/>
      </w:pPr>
    </w:lvl>
    <w:lvl w:ilvl="3" w:tplc="0409000F" w:tentative="1">
      <w:start w:val="1"/>
      <w:numFmt w:val="decimal"/>
      <w:lvlText w:val="%4."/>
      <w:lvlJc w:val="left"/>
      <w:pPr>
        <w:ind w:left="2420" w:hanging="360"/>
      </w:pPr>
    </w:lvl>
    <w:lvl w:ilvl="4" w:tplc="04090019" w:tentative="1">
      <w:start w:val="1"/>
      <w:numFmt w:val="lowerLetter"/>
      <w:lvlText w:val="%5."/>
      <w:lvlJc w:val="left"/>
      <w:pPr>
        <w:ind w:left="3140" w:hanging="360"/>
      </w:pPr>
    </w:lvl>
    <w:lvl w:ilvl="5" w:tplc="0409001B" w:tentative="1">
      <w:start w:val="1"/>
      <w:numFmt w:val="lowerRoman"/>
      <w:lvlText w:val="%6."/>
      <w:lvlJc w:val="right"/>
      <w:pPr>
        <w:ind w:left="3860" w:hanging="180"/>
      </w:pPr>
    </w:lvl>
    <w:lvl w:ilvl="6" w:tplc="0409000F" w:tentative="1">
      <w:start w:val="1"/>
      <w:numFmt w:val="decimal"/>
      <w:lvlText w:val="%7."/>
      <w:lvlJc w:val="left"/>
      <w:pPr>
        <w:ind w:left="4580" w:hanging="360"/>
      </w:pPr>
    </w:lvl>
    <w:lvl w:ilvl="7" w:tplc="04090019" w:tentative="1">
      <w:start w:val="1"/>
      <w:numFmt w:val="lowerLetter"/>
      <w:lvlText w:val="%8."/>
      <w:lvlJc w:val="left"/>
      <w:pPr>
        <w:ind w:left="5300" w:hanging="360"/>
      </w:pPr>
    </w:lvl>
    <w:lvl w:ilvl="8" w:tplc="0409001B" w:tentative="1">
      <w:start w:val="1"/>
      <w:numFmt w:val="lowerRoman"/>
      <w:lvlText w:val="%9."/>
      <w:lvlJc w:val="right"/>
      <w:pPr>
        <w:ind w:left="6020" w:hanging="180"/>
      </w:pPr>
    </w:lvl>
  </w:abstractNum>
  <w:abstractNum w:abstractNumId="5" w15:restartNumberingAfterBreak="0">
    <w:nsid w:val="6F4756F9"/>
    <w:multiLevelType w:val="hybridMultilevel"/>
    <w:tmpl w:val="C0DA183A"/>
    <w:lvl w:ilvl="0" w:tplc="FFFFFFFF">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44560704">
    <w:abstractNumId w:val="4"/>
  </w:num>
  <w:num w:numId="2" w16cid:durableId="181743340">
    <w:abstractNumId w:val="2"/>
  </w:num>
  <w:num w:numId="3" w16cid:durableId="1307902041">
    <w:abstractNumId w:val="1"/>
  </w:num>
  <w:num w:numId="4" w16cid:durableId="2041857264">
    <w:abstractNumId w:val="0"/>
  </w:num>
  <w:num w:numId="5" w16cid:durableId="1454792213">
    <w:abstractNumId w:val="5"/>
  </w:num>
  <w:num w:numId="6" w16cid:durableId="6243885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1F"/>
    <w:rsid w:val="00000828"/>
    <w:rsid w:val="00015A49"/>
    <w:rsid w:val="00031991"/>
    <w:rsid w:val="00032620"/>
    <w:rsid w:val="00034535"/>
    <w:rsid w:val="00035DB2"/>
    <w:rsid w:val="00037BAD"/>
    <w:rsid w:val="0004091A"/>
    <w:rsid w:val="00043117"/>
    <w:rsid w:val="00043292"/>
    <w:rsid w:val="00047D5C"/>
    <w:rsid w:val="000537B7"/>
    <w:rsid w:val="00057B56"/>
    <w:rsid w:val="00060987"/>
    <w:rsid w:val="00062937"/>
    <w:rsid w:val="000672CE"/>
    <w:rsid w:val="00075473"/>
    <w:rsid w:val="00082C6C"/>
    <w:rsid w:val="000A495A"/>
    <w:rsid w:val="000B2839"/>
    <w:rsid w:val="000D64BE"/>
    <w:rsid w:val="000E0D83"/>
    <w:rsid w:val="000E1218"/>
    <w:rsid w:val="000F2211"/>
    <w:rsid w:val="000F2672"/>
    <w:rsid w:val="000F6268"/>
    <w:rsid w:val="0010424D"/>
    <w:rsid w:val="001208E5"/>
    <w:rsid w:val="00120E5A"/>
    <w:rsid w:val="00122700"/>
    <w:rsid w:val="001242EF"/>
    <w:rsid w:val="00125CF6"/>
    <w:rsid w:val="001308EF"/>
    <w:rsid w:val="00132069"/>
    <w:rsid w:val="001347B0"/>
    <w:rsid w:val="001361B4"/>
    <w:rsid w:val="00145F69"/>
    <w:rsid w:val="00160B75"/>
    <w:rsid w:val="00177970"/>
    <w:rsid w:val="00183D1D"/>
    <w:rsid w:val="00192B61"/>
    <w:rsid w:val="001A32EF"/>
    <w:rsid w:val="001B0CF5"/>
    <w:rsid w:val="001B55A9"/>
    <w:rsid w:val="001C07FC"/>
    <w:rsid w:val="001C3BBB"/>
    <w:rsid w:val="001D7716"/>
    <w:rsid w:val="001E7D36"/>
    <w:rsid w:val="002179B7"/>
    <w:rsid w:val="002233A0"/>
    <w:rsid w:val="00226E18"/>
    <w:rsid w:val="002527E1"/>
    <w:rsid w:val="002538BE"/>
    <w:rsid w:val="00273452"/>
    <w:rsid w:val="00273FAD"/>
    <w:rsid w:val="00275832"/>
    <w:rsid w:val="00276431"/>
    <w:rsid w:val="00276807"/>
    <w:rsid w:val="002808A7"/>
    <w:rsid w:val="002815F7"/>
    <w:rsid w:val="002A7571"/>
    <w:rsid w:val="002C3E80"/>
    <w:rsid w:val="002C68D5"/>
    <w:rsid w:val="002C7535"/>
    <w:rsid w:val="002F5252"/>
    <w:rsid w:val="003018ED"/>
    <w:rsid w:val="003056B9"/>
    <w:rsid w:val="00306817"/>
    <w:rsid w:val="00307502"/>
    <w:rsid w:val="003125C4"/>
    <w:rsid w:val="0032388B"/>
    <w:rsid w:val="0033105C"/>
    <w:rsid w:val="00340B4F"/>
    <w:rsid w:val="00346430"/>
    <w:rsid w:val="00350DB9"/>
    <w:rsid w:val="003537F7"/>
    <w:rsid w:val="00353815"/>
    <w:rsid w:val="00381AA3"/>
    <w:rsid w:val="00385D34"/>
    <w:rsid w:val="0038615B"/>
    <w:rsid w:val="003B03C2"/>
    <w:rsid w:val="003C02DA"/>
    <w:rsid w:val="003C06F4"/>
    <w:rsid w:val="003C63E5"/>
    <w:rsid w:val="003D2568"/>
    <w:rsid w:val="003E0250"/>
    <w:rsid w:val="003E4805"/>
    <w:rsid w:val="003F2AA8"/>
    <w:rsid w:val="0040080A"/>
    <w:rsid w:val="00406C35"/>
    <w:rsid w:val="004071AF"/>
    <w:rsid w:val="0041178C"/>
    <w:rsid w:val="00431A36"/>
    <w:rsid w:val="00470485"/>
    <w:rsid w:val="004719BC"/>
    <w:rsid w:val="00475D1A"/>
    <w:rsid w:val="004903A2"/>
    <w:rsid w:val="00491176"/>
    <w:rsid w:val="004A0B98"/>
    <w:rsid w:val="004A121E"/>
    <w:rsid w:val="004A1C5E"/>
    <w:rsid w:val="004A258B"/>
    <w:rsid w:val="004B4736"/>
    <w:rsid w:val="004C0DF4"/>
    <w:rsid w:val="004D499A"/>
    <w:rsid w:val="004E69DD"/>
    <w:rsid w:val="00503B59"/>
    <w:rsid w:val="00515863"/>
    <w:rsid w:val="00517CF7"/>
    <w:rsid w:val="005224E5"/>
    <w:rsid w:val="00525C7D"/>
    <w:rsid w:val="00527412"/>
    <w:rsid w:val="005364E6"/>
    <w:rsid w:val="00543BF3"/>
    <w:rsid w:val="0054405D"/>
    <w:rsid w:val="00546982"/>
    <w:rsid w:val="00560004"/>
    <w:rsid w:val="00560E59"/>
    <w:rsid w:val="005621E6"/>
    <w:rsid w:val="0057441F"/>
    <w:rsid w:val="005858A4"/>
    <w:rsid w:val="00593820"/>
    <w:rsid w:val="00594A59"/>
    <w:rsid w:val="00595131"/>
    <w:rsid w:val="0059734A"/>
    <w:rsid w:val="005A13BA"/>
    <w:rsid w:val="005A3AF6"/>
    <w:rsid w:val="005C6CB1"/>
    <w:rsid w:val="005D3223"/>
    <w:rsid w:val="005D3764"/>
    <w:rsid w:val="005D64D4"/>
    <w:rsid w:val="005E592F"/>
    <w:rsid w:val="005F3935"/>
    <w:rsid w:val="005F74E1"/>
    <w:rsid w:val="00617EC8"/>
    <w:rsid w:val="00630DFF"/>
    <w:rsid w:val="0063124D"/>
    <w:rsid w:val="00632EA0"/>
    <w:rsid w:val="006376A1"/>
    <w:rsid w:val="006450DB"/>
    <w:rsid w:val="006460DD"/>
    <w:rsid w:val="00650844"/>
    <w:rsid w:val="0065568E"/>
    <w:rsid w:val="006600E3"/>
    <w:rsid w:val="00663528"/>
    <w:rsid w:val="00664A3A"/>
    <w:rsid w:val="00673C81"/>
    <w:rsid w:val="00673ED1"/>
    <w:rsid w:val="00676EF4"/>
    <w:rsid w:val="00684E2C"/>
    <w:rsid w:val="00691836"/>
    <w:rsid w:val="00695728"/>
    <w:rsid w:val="006A3452"/>
    <w:rsid w:val="006C123C"/>
    <w:rsid w:val="006C3503"/>
    <w:rsid w:val="006C522D"/>
    <w:rsid w:val="006D0665"/>
    <w:rsid w:val="006D3169"/>
    <w:rsid w:val="006D62C9"/>
    <w:rsid w:val="006E4B63"/>
    <w:rsid w:val="006E5E3A"/>
    <w:rsid w:val="006F4719"/>
    <w:rsid w:val="00707608"/>
    <w:rsid w:val="00715515"/>
    <w:rsid w:val="00721517"/>
    <w:rsid w:val="00722471"/>
    <w:rsid w:val="00740164"/>
    <w:rsid w:val="00744DA7"/>
    <w:rsid w:val="00751AB6"/>
    <w:rsid w:val="00752D91"/>
    <w:rsid w:val="00752E26"/>
    <w:rsid w:val="00761CFD"/>
    <w:rsid w:val="007726F0"/>
    <w:rsid w:val="007916C2"/>
    <w:rsid w:val="00794BE0"/>
    <w:rsid w:val="007B06E1"/>
    <w:rsid w:val="007B3E1F"/>
    <w:rsid w:val="007B6B3F"/>
    <w:rsid w:val="007E1F7D"/>
    <w:rsid w:val="007F0D48"/>
    <w:rsid w:val="007F1AB9"/>
    <w:rsid w:val="007F64CF"/>
    <w:rsid w:val="00810A1A"/>
    <w:rsid w:val="00823A99"/>
    <w:rsid w:val="00840AF1"/>
    <w:rsid w:val="008420AB"/>
    <w:rsid w:val="0085342A"/>
    <w:rsid w:val="00856E91"/>
    <w:rsid w:val="008574FD"/>
    <w:rsid w:val="00865E3F"/>
    <w:rsid w:val="00867E36"/>
    <w:rsid w:val="00876A64"/>
    <w:rsid w:val="008879E3"/>
    <w:rsid w:val="00893C75"/>
    <w:rsid w:val="008A5919"/>
    <w:rsid w:val="008B2DAD"/>
    <w:rsid w:val="008B55CF"/>
    <w:rsid w:val="008B69A5"/>
    <w:rsid w:val="008B6CC2"/>
    <w:rsid w:val="008B7E2E"/>
    <w:rsid w:val="008D6086"/>
    <w:rsid w:val="008D6370"/>
    <w:rsid w:val="008E0E73"/>
    <w:rsid w:val="008E44D6"/>
    <w:rsid w:val="008F07DB"/>
    <w:rsid w:val="008F17D6"/>
    <w:rsid w:val="008F74AF"/>
    <w:rsid w:val="009029D1"/>
    <w:rsid w:val="00905B51"/>
    <w:rsid w:val="00934A12"/>
    <w:rsid w:val="00955031"/>
    <w:rsid w:val="00957F26"/>
    <w:rsid w:val="0096712B"/>
    <w:rsid w:val="00970161"/>
    <w:rsid w:val="00981E98"/>
    <w:rsid w:val="00991D4B"/>
    <w:rsid w:val="009A6F6B"/>
    <w:rsid w:val="009B0EDA"/>
    <w:rsid w:val="009B76C1"/>
    <w:rsid w:val="009C58B4"/>
    <w:rsid w:val="009C6C7F"/>
    <w:rsid w:val="009D4A31"/>
    <w:rsid w:val="009E296B"/>
    <w:rsid w:val="009E70A0"/>
    <w:rsid w:val="009F69F2"/>
    <w:rsid w:val="00A0148E"/>
    <w:rsid w:val="00A16CE8"/>
    <w:rsid w:val="00A20056"/>
    <w:rsid w:val="00A20A19"/>
    <w:rsid w:val="00A504D9"/>
    <w:rsid w:val="00A50AFF"/>
    <w:rsid w:val="00A83746"/>
    <w:rsid w:val="00A91F87"/>
    <w:rsid w:val="00AA00C4"/>
    <w:rsid w:val="00AA5F19"/>
    <w:rsid w:val="00AC1A76"/>
    <w:rsid w:val="00AC52AD"/>
    <w:rsid w:val="00AC6531"/>
    <w:rsid w:val="00AD21BA"/>
    <w:rsid w:val="00AE20CE"/>
    <w:rsid w:val="00AF168D"/>
    <w:rsid w:val="00B13147"/>
    <w:rsid w:val="00B16D7B"/>
    <w:rsid w:val="00B363A2"/>
    <w:rsid w:val="00B54101"/>
    <w:rsid w:val="00B56512"/>
    <w:rsid w:val="00B722F8"/>
    <w:rsid w:val="00B84144"/>
    <w:rsid w:val="00B85820"/>
    <w:rsid w:val="00BA2082"/>
    <w:rsid w:val="00BA611D"/>
    <w:rsid w:val="00BA65EE"/>
    <w:rsid w:val="00BB015B"/>
    <w:rsid w:val="00BB3D4B"/>
    <w:rsid w:val="00BB69C0"/>
    <w:rsid w:val="00BC502F"/>
    <w:rsid w:val="00BD4A13"/>
    <w:rsid w:val="00BD4F96"/>
    <w:rsid w:val="00BD65FE"/>
    <w:rsid w:val="00BF1364"/>
    <w:rsid w:val="00BF49B7"/>
    <w:rsid w:val="00BF61C1"/>
    <w:rsid w:val="00BF76F2"/>
    <w:rsid w:val="00C15646"/>
    <w:rsid w:val="00C215F3"/>
    <w:rsid w:val="00C21A35"/>
    <w:rsid w:val="00C22517"/>
    <w:rsid w:val="00C51BDC"/>
    <w:rsid w:val="00C605FF"/>
    <w:rsid w:val="00C633BD"/>
    <w:rsid w:val="00C77739"/>
    <w:rsid w:val="00C7791C"/>
    <w:rsid w:val="00CB7777"/>
    <w:rsid w:val="00CE4011"/>
    <w:rsid w:val="00CE7161"/>
    <w:rsid w:val="00D11937"/>
    <w:rsid w:val="00D15012"/>
    <w:rsid w:val="00D16C65"/>
    <w:rsid w:val="00D233B8"/>
    <w:rsid w:val="00D23583"/>
    <w:rsid w:val="00D26BFA"/>
    <w:rsid w:val="00D31FEC"/>
    <w:rsid w:val="00D56843"/>
    <w:rsid w:val="00D65514"/>
    <w:rsid w:val="00D677DE"/>
    <w:rsid w:val="00D7148F"/>
    <w:rsid w:val="00D73CF8"/>
    <w:rsid w:val="00D82711"/>
    <w:rsid w:val="00D852C5"/>
    <w:rsid w:val="00DA65E0"/>
    <w:rsid w:val="00DA6D3D"/>
    <w:rsid w:val="00DB6774"/>
    <w:rsid w:val="00DE5887"/>
    <w:rsid w:val="00DE7582"/>
    <w:rsid w:val="00E00D1F"/>
    <w:rsid w:val="00E0206B"/>
    <w:rsid w:val="00E024DB"/>
    <w:rsid w:val="00E0498F"/>
    <w:rsid w:val="00E0666E"/>
    <w:rsid w:val="00E17EDD"/>
    <w:rsid w:val="00E25ABC"/>
    <w:rsid w:val="00E54283"/>
    <w:rsid w:val="00E74444"/>
    <w:rsid w:val="00E84B0B"/>
    <w:rsid w:val="00EA7A17"/>
    <w:rsid w:val="00EB1AB4"/>
    <w:rsid w:val="00EB53AA"/>
    <w:rsid w:val="00EC3EE8"/>
    <w:rsid w:val="00ED072D"/>
    <w:rsid w:val="00ED23A8"/>
    <w:rsid w:val="00EE102A"/>
    <w:rsid w:val="00EE1BC5"/>
    <w:rsid w:val="00EE69E9"/>
    <w:rsid w:val="00EF358A"/>
    <w:rsid w:val="00F15818"/>
    <w:rsid w:val="00F21B9E"/>
    <w:rsid w:val="00F424AF"/>
    <w:rsid w:val="00F4308B"/>
    <w:rsid w:val="00F56ED1"/>
    <w:rsid w:val="00F64FFD"/>
    <w:rsid w:val="00F74DA6"/>
    <w:rsid w:val="00F81FE6"/>
    <w:rsid w:val="00F839B4"/>
    <w:rsid w:val="00F9438B"/>
    <w:rsid w:val="00FA0167"/>
    <w:rsid w:val="00FA0D3A"/>
    <w:rsid w:val="00FA5A19"/>
    <w:rsid w:val="00FB1533"/>
    <w:rsid w:val="00FB3165"/>
    <w:rsid w:val="00FC45F2"/>
    <w:rsid w:val="00FE0317"/>
    <w:rsid w:val="00FE42FC"/>
    <w:rsid w:val="00FE4C03"/>
    <w:rsid w:val="00FF03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4F8124"/>
  <w14:defaultImageDpi w14:val="32767"/>
  <w15:chartTrackingRefBased/>
  <w15:docId w15:val="{B7A7274D-CD4F-E344-87F3-E1FFC809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E024DB"/>
    <w:rPr>
      <w:rFonts w:eastAsia="Times New Roman" w:cs="Times New Roman"/>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24D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
    <w:rsid w:val="00FE4C03"/>
    <w:rPr>
      <w:rFonts w:ascii="Arial" w:eastAsiaTheme="minorHAnsi" w:hAnsi="Arial" w:cs="Arial"/>
      <w:color w:val="232323"/>
      <w:sz w:val="22"/>
      <w:szCs w:val="22"/>
    </w:rPr>
  </w:style>
  <w:style w:type="character" w:styleId="Hyperlink">
    <w:name w:val="Hyperlink"/>
    <w:basedOn w:val="DefaultParagraphFont"/>
    <w:uiPriority w:val="99"/>
    <w:unhideWhenUsed/>
    <w:rsid w:val="00034535"/>
    <w:rPr>
      <w:color w:val="0563C1" w:themeColor="hyperlink"/>
      <w:u w:val="single"/>
    </w:rPr>
  </w:style>
  <w:style w:type="character" w:styleId="UnresolvedMention">
    <w:name w:val="Unresolved Mention"/>
    <w:basedOn w:val="DefaultParagraphFont"/>
    <w:uiPriority w:val="99"/>
    <w:rsid w:val="00034535"/>
    <w:rPr>
      <w:color w:val="605E5C"/>
      <w:shd w:val="clear" w:color="auto" w:fill="E1DFDD"/>
    </w:rPr>
  </w:style>
  <w:style w:type="paragraph" w:styleId="Header">
    <w:name w:val="header"/>
    <w:basedOn w:val="Normal"/>
    <w:link w:val="HeaderChar"/>
    <w:uiPriority w:val="99"/>
    <w:unhideWhenUsed/>
    <w:rsid w:val="00B16D7B"/>
    <w:pPr>
      <w:tabs>
        <w:tab w:val="center" w:pos="4680"/>
        <w:tab w:val="right" w:pos="9360"/>
      </w:tabs>
    </w:pPr>
  </w:style>
  <w:style w:type="character" w:customStyle="1" w:styleId="HeaderChar">
    <w:name w:val="Header Char"/>
    <w:basedOn w:val="DefaultParagraphFont"/>
    <w:link w:val="Header"/>
    <w:uiPriority w:val="99"/>
    <w:rsid w:val="00B16D7B"/>
    <w:rPr>
      <w:rFonts w:eastAsia="Times New Roman" w:cs="Times New Roman"/>
      <w:sz w:val="16"/>
    </w:rPr>
  </w:style>
  <w:style w:type="paragraph" w:styleId="Footer">
    <w:name w:val="footer"/>
    <w:basedOn w:val="Normal"/>
    <w:link w:val="FooterChar"/>
    <w:uiPriority w:val="99"/>
    <w:unhideWhenUsed/>
    <w:rsid w:val="00B16D7B"/>
    <w:pPr>
      <w:tabs>
        <w:tab w:val="center" w:pos="4680"/>
        <w:tab w:val="right" w:pos="9360"/>
      </w:tabs>
    </w:pPr>
  </w:style>
  <w:style w:type="character" w:customStyle="1" w:styleId="FooterChar">
    <w:name w:val="Footer Char"/>
    <w:basedOn w:val="DefaultParagraphFont"/>
    <w:link w:val="Footer"/>
    <w:uiPriority w:val="99"/>
    <w:rsid w:val="00B16D7B"/>
    <w:rPr>
      <w:rFonts w:eastAsia="Times New Roman"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hart" Target="charts/chart2.xml"/><Relationship Id="rId18" Type="http://schemas.openxmlformats.org/officeDocument/2006/relationships/hyperlink" Target="https://www.qualityhealth.org/bree/evaluation/submission-portal/"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yperlink" Target="https://www.qualityhealth.org/bree/evaluation/bree-collaborative-awards/" TargetMode="Externa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endnotes" Target="endnotes.xml"/><Relationship Id="rId19" Type="http://schemas.openxmlformats.org/officeDocument/2006/relationships/hyperlink" Target="mailto:knicholas@qualityhealth.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KarieNicholas\Foundation%20for%20Health%20Care%20Quality\FHCQ%20Team%20Site%20-%20Bree%20Collaborative\Evaluation\Evaluation%20data\HSS_barriers%20_23_0716.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KarieNicholas\Foundation%20for%20Health%20Care%20Quality\FHCQ%20Team%20Site%20-%20Bree%20Collaborative\Evaluation\Evaluation%20data\HSS_barriers%20_23_0716.csv"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KarieNicholas\AppData\Roaming\Microsoft\Excel\HSS_barriers%20_23_0716%20(version%201).xlsb"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KarieNicholas\AppData\Roaming\Microsoft\Excel\HSS_barriers%20_23_0716%20(version%201).xlsb"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KarieNicholas\Foundation%20for%20Health%20Care%20Quality\FHCQ%20Team%20Site%20-%20Bree%20Collaborative\Evaluation\Evaluation%20data\HSS_barriers%20_23_0716.csv"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1. Top Barriers, Score Card Method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graphics!$C$1</c:f>
              <c:strCache>
                <c:ptCount val="1"/>
                <c:pt idx="0">
                  <c:v>Score</c:v>
                </c:pt>
              </c:strCache>
            </c:strRef>
          </c:tx>
          <c:spPr>
            <a:solidFill>
              <a:schemeClr val="accent1"/>
            </a:solidFill>
            <a:ln>
              <a:noFill/>
            </a:ln>
            <a:effectLst/>
          </c:spPr>
          <c:invertIfNegative val="0"/>
          <c:cat>
            <c:strRef>
              <c:f>graphics!$B$2:$B$6</c:f>
              <c:strCache>
                <c:ptCount val="5"/>
                <c:pt idx="0">
                  <c:v>Business case- evidence of economic reward</c:v>
                </c:pt>
                <c:pt idx="1">
                  <c:v>Burden/ease of collecting or obtaining data</c:v>
                </c:pt>
                <c:pt idx="2">
                  <c:v>Availability and credibility of data</c:v>
                </c:pt>
                <c:pt idx="3">
                  <c:v>Contract partners interest in value-based purchasing</c:v>
                </c:pt>
                <c:pt idx="4">
                  <c:v>Consensus on what constitutes quality of care</c:v>
                </c:pt>
              </c:strCache>
            </c:strRef>
          </c:cat>
          <c:val>
            <c:numRef>
              <c:f>graphics!$C$2:$C$6</c:f>
              <c:numCache>
                <c:formatCode>General</c:formatCode>
                <c:ptCount val="5"/>
                <c:pt idx="0">
                  <c:v>14</c:v>
                </c:pt>
                <c:pt idx="1">
                  <c:v>10.8</c:v>
                </c:pt>
                <c:pt idx="2">
                  <c:v>9</c:v>
                </c:pt>
                <c:pt idx="3">
                  <c:v>9</c:v>
                </c:pt>
                <c:pt idx="4">
                  <c:v>6.9</c:v>
                </c:pt>
              </c:numCache>
            </c:numRef>
          </c:val>
          <c:extLst>
            <c:ext xmlns:c16="http://schemas.microsoft.com/office/drawing/2014/chart" uri="{C3380CC4-5D6E-409C-BE32-E72D297353CC}">
              <c16:uniqueId val="{00000000-CB7F-42A0-BC71-099E6DB93CC6}"/>
            </c:ext>
          </c:extLst>
        </c:ser>
        <c:dLbls>
          <c:showLegendKey val="0"/>
          <c:showVal val="0"/>
          <c:showCatName val="0"/>
          <c:showSerName val="0"/>
          <c:showPercent val="0"/>
          <c:showBubbleSize val="0"/>
        </c:dLbls>
        <c:gapWidth val="219"/>
        <c:overlap val="-27"/>
        <c:axId val="1369201376"/>
        <c:axId val="1369202816"/>
      </c:barChart>
      <c:catAx>
        <c:axId val="136920137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Barriers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202816"/>
        <c:crosses val="autoZero"/>
        <c:auto val="1"/>
        <c:lblAlgn val="ctr"/>
        <c:lblOffset val="100"/>
        <c:noMultiLvlLbl val="0"/>
      </c:catAx>
      <c:valAx>
        <c:axId val="13692028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Weighted</a:t>
                </a:r>
                <a:r>
                  <a:rPr lang="en-US" baseline="0"/>
                  <a:t> scores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692013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2. Top Barriers, Survey Method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graphics!$I$1</c:f>
              <c:strCache>
                <c:ptCount val="1"/>
                <c:pt idx="0">
                  <c:v>Score</c:v>
                </c:pt>
              </c:strCache>
            </c:strRef>
          </c:tx>
          <c:spPr>
            <a:solidFill>
              <a:schemeClr val="accent1"/>
            </a:solidFill>
            <a:ln>
              <a:noFill/>
            </a:ln>
            <a:effectLst/>
          </c:spPr>
          <c:invertIfNegative val="0"/>
          <c:cat>
            <c:strRef>
              <c:f>graphics!$H$2:$H$6</c:f>
              <c:strCache>
                <c:ptCount val="5"/>
                <c:pt idx="0">
                  <c:v>Time</c:v>
                </c:pt>
                <c:pt idx="1">
                  <c:v>Cost</c:v>
                </c:pt>
                <c:pt idx="2">
                  <c:v>Lack of adequate infrastructure capacity</c:v>
                </c:pt>
                <c:pt idx="3">
                  <c:v>Business case- evidence of economic reward</c:v>
                </c:pt>
                <c:pt idx="4">
                  <c:v>Lack of sufficient personnel</c:v>
                </c:pt>
              </c:strCache>
            </c:strRef>
          </c:cat>
          <c:val>
            <c:numRef>
              <c:f>graphics!$I$2:$I$6</c:f>
              <c:numCache>
                <c:formatCode>General</c:formatCode>
                <c:ptCount val="5"/>
                <c:pt idx="0">
                  <c:v>7</c:v>
                </c:pt>
                <c:pt idx="1">
                  <c:v>5</c:v>
                </c:pt>
                <c:pt idx="2">
                  <c:v>5</c:v>
                </c:pt>
                <c:pt idx="3">
                  <c:v>4</c:v>
                </c:pt>
                <c:pt idx="4">
                  <c:v>4</c:v>
                </c:pt>
              </c:numCache>
            </c:numRef>
          </c:val>
          <c:extLst>
            <c:ext xmlns:c16="http://schemas.microsoft.com/office/drawing/2014/chart" uri="{C3380CC4-5D6E-409C-BE32-E72D297353CC}">
              <c16:uniqueId val="{00000000-6270-480F-810D-731A68682043}"/>
            </c:ext>
          </c:extLst>
        </c:ser>
        <c:dLbls>
          <c:showLegendKey val="0"/>
          <c:showVal val="0"/>
          <c:showCatName val="0"/>
          <c:showSerName val="0"/>
          <c:showPercent val="0"/>
          <c:showBubbleSize val="0"/>
        </c:dLbls>
        <c:gapWidth val="219"/>
        <c:overlap val="-27"/>
        <c:axId val="1056778160"/>
        <c:axId val="1056772880"/>
      </c:barChart>
      <c:catAx>
        <c:axId val="10567781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Barriers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772880"/>
        <c:crosses val="autoZero"/>
        <c:auto val="1"/>
        <c:lblAlgn val="ctr"/>
        <c:lblOffset val="100"/>
        <c:noMultiLvlLbl val="0"/>
      </c:catAx>
      <c:valAx>
        <c:axId val="1056772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Scores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67781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3. Barrier for Behavioral Health and Community Organizations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Sheet7!$C$1</c:f>
              <c:strCache>
                <c:ptCount val="1"/>
                <c:pt idx="0">
                  <c:v>Score cards</c:v>
                </c:pt>
              </c:strCache>
            </c:strRef>
          </c:tx>
          <c:spPr>
            <a:solidFill>
              <a:schemeClr val="accent1"/>
            </a:solidFill>
            <a:ln>
              <a:noFill/>
            </a:ln>
            <a:effectLst/>
          </c:spPr>
          <c:invertIfNegative val="0"/>
          <c:cat>
            <c:strRef>
              <c:f>Sheet7!$B$2:$B$6</c:f>
              <c:strCache>
                <c:ptCount val="5"/>
                <c:pt idx="0">
                  <c:v>Internal awareness/support of Bree Recommendations</c:v>
                </c:pt>
                <c:pt idx="1">
                  <c:v>Availability and credibility of data</c:v>
                </c:pt>
                <c:pt idx="2">
                  <c:v>Burden/ease of collecting or obtaining data</c:v>
                </c:pt>
                <c:pt idx="3">
                  <c:v>Lack of adequate infrastructure capacity (e.g., EHR system, broadband issues, lack of integration with behavioral health systems, etc.)</c:v>
                </c:pt>
                <c:pt idx="4">
                  <c:v>Time</c:v>
                </c:pt>
              </c:strCache>
            </c:strRef>
          </c:cat>
          <c:val>
            <c:numRef>
              <c:f>Sheet7!$C$2:$C$6</c:f>
              <c:numCache>
                <c:formatCode>General</c:formatCode>
                <c:ptCount val="5"/>
                <c:pt idx="0">
                  <c:v>2</c:v>
                </c:pt>
                <c:pt idx="1">
                  <c:v>5</c:v>
                </c:pt>
                <c:pt idx="2">
                  <c:v>4</c:v>
                </c:pt>
                <c:pt idx="3">
                  <c:v>0</c:v>
                </c:pt>
                <c:pt idx="4">
                  <c:v>0</c:v>
                </c:pt>
              </c:numCache>
            </c:numRef>
          </c:val>
          <c:extLst>
            <c:ext xmlns:c16="http://schemas.microsoft.com/office/drawing/2014/chart" uri="{C3380CC4-5D6E-409C-BE32-E72D297353CC}">
              <c16:uniqueId val="{00000000-7FD1-46F6-8745-764A2CFA6371}"/>
            </c:ext>
          </c:extLst>
        </c:ser>
        <c:ser>
          <c:idx val="1"/>
          <c:order val="1"/>
          <c:tx>
            <c:strRef>
              <c:f>Sheet7!$D$1</c:f>
              <c:strCache>
                <c:ptCount val="1"/>
                <c:pt idx="0">
                  <c:v>Surveys</c:v>
                </c:pt>
              </c:strCache>
            </c:strRef>
          </c:tx>
          <c:spPr>
            <a:solidFill>
              <a:schemeClr val="accent2"/>
            </a:solidFill>
            <a:ln>
              <a:noFill/>
            </a:ln>
            <a:effectLst/>
          </c:spPr>
          <c:invertIfNegative val="0"/>
          <c:cat>
            <c:strRef>
              <c:f>Sheet7!$B$2:$B$6</c:f>
              <c:strCache>
                <c:ptCount val="5"/>
                <c:pt idx="0">
                  <c:v>Internal awareness/support of Bree Recommendations</c:v>
                </c:pt>
                <c:pt idx="1">
                  <c:v>Availability and credibility of data</c:v>
                </c:pt>
                <c:pt idx="2">
                  <c:v>Burden/ease of collecting or obtaining data</c:v>
                </c:pt>
                <c:pt idx="3">
                  <c:v>Lack of adequate infrastructure capacity (e.g., EHR system, broadband issues, lack of integration with behavioral health systems, etc.)</c:v>
                </c:pt>
                <c:pt idx="4">
                  <c:v>Time</c:v>
                </c:pt>
              </c:strCache>
            </c:strRef>
          </c:cat>
          <c:val>
            <c:numRef>
              <c:f>Sheet7!$D$2:$D$6</c:f>
              <c:numCache>
                <c:formatCode>General</c:formatCode>
                <c:ptCount val="5"/>
                <c:pt idx="0">
                  <c:v>0</c:v>
                </c:pt>
                <c:pt idx="1">
                  <c:v>0</c:v>
                </c:pt>
                <c:pt idx="2">
                  <c:v>0</c:v>
                </c:pt>
                <c:pt idx="3">
                  <c:v>3.3</c:v>
                </c:pt>
                <c:pt idx="4">
                  <c:v>3.3</c:v>
                </c:pt>
              </c:numCache>
            </c:numRef>
          </c:val>
          <c:extLst>
            <c:ext xmlns:c16="http://schemas.microsoft.com/office/drawing/2014/chart" uri="{C3380CC4-5D6E-409C-BE32-E72D297353CC}">
              <c16:uniqueId val="{00000001-7FD1-46F6-8745-764A2CFA6371}"/>
            </c:ext>
          </c:extLst>
        </c:ser>
        <c:dLbls>
          <c:showLegendKey val="0"/>
          <c:showVal val="0"/>
          <c:showCatName val="0"/>
          <c:showSerName val="0"/>
          <c:showPercent val="0"/>
          <c:showBubbleSize val="0"/>
        </c:dLbls>
        <c:gapWidth val="219"/>
        <c:overlap val="-27"/>
        <c:axId val="1313112912"/>
        <c:axId val="1380775792"/>
      </c:barChart>
      <c:catAx>
        <c:axId val="131311291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Barriers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80775792"/>
        <c:crosses val="autoZero"/>
        <c:auto val="1"/>
        <c:lblAlgn val="ctr"/>
        <c:lblOffset val="100"/>
        <c:tickLblSkip val="1"/>
        <c:noMultiLvlLbl val="0"/>
      </c:catAx>
      <c:valAx>
        <c:axId val="13807757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Scores</a:t>
                </a:r>
                <a:r>
                  <a:rPr lang="en-US" baseline="0"/>
                  <a:t> and weighted scores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131129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en-US"/>
              <a:t>Chart 4. Barriers by Audience,  Surveys</a:t>
            </a:r>
          </a:p>
        </c:rich>
      </c:tx>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graphics!$C$27</c:f>
              <c:strCache>
                <c:ptCount val="1"/>
                <c:pt idx="0">
                  <c:v>Health System</c:v>
                </c:pt>
              </c:strCache>
            </c:strRef>
          </c:tx>
          <c:spPr>
            <a:solidFill>
              <a:schemeClr val="accent1"/>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graphics!$B$28:$B$33</c:f>
              <c:strCache>
                <c:ptCount val="6"/>
                <c:pt idx="0">
                  <c:v>Time</c:v>
                </c:pt>
                <c:pt idx="1">
                  <c:v>Lack of adequate infrastructure capacity</c:v>
                </c:pt>
                <c:pt idx="2">
                  <c:v>Cost</c:v>
                </c:pt>
                <c:pt idx="3">
                  <c:v>Lack of alignment with other priorities</c:v>
                </c:pt>
                <c:pt idx="4">
                  <c:v>Lack of business case and/or evidence of economic reward</c:v>
                </c:pt>
                <c:pt idx="5">
                  <c:v>Lack of sufficient personnel</c:v>
                </c:pt>
              </c:strCache>
            </c:strRef>
          </c:cat>
          <c:val>
            <c:numRef>
              <c:f>graphics!$C$28:$C$33</c:f>
              <c:numCache>
                <c:formatCode>General</c:formatCode>
                <c:ptCount val="6"/>
                <c:pt idx="0">
                  <c:v>0.36359999999999998</c:v>
                </c:pt>
                <c:pt idx="1">
                  <c:v>0.36359999999999998</c:v>
                </c:pt>
                <c:pt idx="2">
                  <c:v>0.2727</c:v>
                </c:pt>
                <c:pt idx="3">
                  <c:v>0.2727</c:v>
                </c:pt>
                <c:pt idx="4">
                  <c:v>0.18179999999999999</c:v>
                </c:pt>
                <c:pt idx="5">
                  <c:v>9.0899999999999995E-2</c:v>
                </c:pt>
              </c:numCache>
            </c:numRef>
          </c:val>
          <c:extLst>
            <c:ext xmlns:c16="http://schemas.microsoft.com/office/drawing/2014/chart" uri="{C3380CC4-5D6E-409C-BE32-E72D297353CC}">
              <c16:uniqueId val="{00000000-92BD-490B-915E-72EB76EDD0AD}"/>
            </c:ext>
          </c:extLst>
        </c:ser>
        <c:ser>
          <c:idx val="1"/>
          <c:order val="1"/>
          <c:tx>
            <c:strRef>
              <c:f>graphics!$D$27</c:f>
              <c:strCache>
                <c:ptCount val="1"/>
                <c:pt idx="0">
                  <c:v>Health Plan</c:v>
                </c:pt>
              </c:strCache>
            </c:strRef>
          </c:tx>
          <c:spPr>
            <a:solidFill>
              <a:schemeClr val="accent2"/>
            </a:solidFill>
            <a:ln>
              <a:noFill/>
            </a:ln>
            <a:effectLst/>
          </c:spPr>
          <c:invertIfNegative val="0"/>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graphics!$B$28:$B$33</c:f>
              <c:strCache>
                <c:ptCount val="6"/>
                <c:pt idx="0">
                  <c:v>Time</c:v>
                </c:pt>
                <c:pt idx="1">
                  <c:v>Lack of adequate infrastructure capacity</c:v>
                </c:pt>
                <c:pt idx="2">
                  <c:v>Cost</c:v>
                </c:pt>
                <c:pt idx="3">
                  <c:v>Lack of alignment with other priorities</c:v>
                </c:pt>
                <c:pt idx="4">
                  <c:v>Lack of business case and/or evidence of economic reward</c:v>
                </c:pt>
                <c:pt idx="5">
                  <c:v>Lack of sufficient personnel</c:v>
                </c:pt>
              </c:strCache>
            </c:strRef>
          </c:cat>
          <c:val>
            <c:numRef>
              <c:f>graphics!$D$28:$D$33</c:f>
              <c:numCache>
                <c:formatCode>General</c:formatCode>
                <c:ptCount val="6"/>
                <c:pt idx="0">
                  <c:v>0.25</c:v>
                </c:pt>
                <c:pt idx="1">
                  <c:v>0.25</c:v>
                </c:pt>
                <c:pt idx="2">
                  <c:v>0.25</c:v>
                </c:pt>
                <c:pt idx="3">
                  <c:v>0.25</c:v>
                </c:pt>
                <c:pt idx="4">
                  <c:v>0.25</c:v>
                </c:pt>
                <c:pt idx="5">
                  <c:v>0.25</c:v>
                </c:pt>
              </c:numCache>
            </c:numRef>
          </c:val>
          <c:extLst>
            <c:ext xmlns:c16="http://schemas.microsoft.com/office/drawing/2014/chart" uri="{C3380CC4-5D6E-409C-BE32-E72D297353CC}">
              <c16:uniqueId val="{00000001-92BD-490B-915E-72EB76EDD0AD}"/>
            </c:ext>
          </c:extLst>
        </c:ser>
        <c:dLbls>
          <c:dLblPos val="ctr"/>
          <c:showLegendKey val="0"/>
          <c:showVal val="1"/>
          <c:showCatName val="0"/>
          <c:showSerName val="0"/>
          <c:showPercent val="0"/>
          <c:showBubbleSize val="0"/>
        </c:dLbls>
        <c:gapWidth val="79"/>
        <c:overlap val="100"/>
        <c:axId val="1628801792"/>
        <c:axId val="1628806112"/>
      </c:barChart>
      <c:catAx>
        <c:axId val="16288017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628806112"/>
        <c:crosses val="autoZero"/>
        <c:auto val="1"/>
        <c:lblAlgn val="ctr"/>
        <c:lblOffset val="100"/>
        <c:noMultiLvlLbl val="0"/>
      </c:catAx>
      <c:valAx>
        <c:axId val="1628806112"/>
        <c:scaling>
          <c:orientation val="minMax"/>
        </c:scaling>
        <c:delete val="1"/>
        <c:axPos val="l"/>
        <c:numFmt formatCode="General" sourceLinked="1"/>
        <c:majorTickMark val="none"/>
        <c:minorTickMark val="none"/>
        <c:tickLblPos val="nextTo"/>
        <c:crossAx val="162880179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Chart 5. Barriers by Audience, Score Card Method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graphics!$C$44</c:f>
              <c:strCache>
                <c:ptCount val="1"/>
                <c:pt idx="0">
                  <c:v>Health System</c:v>
                </c:pt>
              </c:strCache>
            </c:strRef>
          </c:tx>
          <c:spPr>
            <a:solidFill>
              <a:schemeClr val="accent1"/>
            </a:solidFill>
            <a:ln>
              <a:noFill/>
            </a:ln>
            <a:effectLst/>
          </c:spPr>
          <c:invertIfNegative val="0"/>
          <c:cat>
            <c:strRef>
              <c:f>graphics!$B$45:$B$48</c:f>
              <c:strCache>
                <c:ptCount val="4"/>
                <c:pt idx="0">
                  <c:v>Business case- evidence of economic reward</c:v>
                </c:pt>
                <c:pt idx="1">
                  <c:v>Contract partners interest in value-based purchasing</c:v>
                </c:pt>
                <c:pt idx="2">
                  <c:v>Burden/ease of collecting or obtaining data</c:v>
                </c:pt>
                <c:pt idx="3">
                  <c:v>Availability and credibility of data</c:v>
                </c:pt>
              </c:strCache>
            </c:strRef>
          </c:cat>
          <c:val>
            <c:numRef>
              <c:f>graphics!$C$45:$C$48</c:f>
              <c:numCache>
                <c:formatCode>General</c:formatCode>
                <c:ptCount val="4"/>
                <c:pt idx="0">
                  <c:v>6</c:v>
                </c:pt>
                <c:pt idx="1">
                  <c:v>5</c:v>
                </c:pt>
                <c:pt idx="2">
                  <c:v>2</c:v>
                </c:pt>
                <c:pt idx="3">
                  <c:v>3</c:v>
                </c:pt>
              </c:numCache>
            </c:numRef>
          </c:val>
          <c:extLst>
            <c:ext xmlns:c16="http://schemas.microsoft.com/office/drawing/2014/chart" uri="{C3380CC4-5D6E-409C-BE32-E72D297353CC}">
              <c16:uniqueId val="{00000000-FEA3-4392-BE2E-95CD72E5C0F1}"/>
            </c:ext>
          </c:extLst>
        </c:ser>
        <c:ser>
          <c:idx val="1"/>
          <c:order val="1"/>
          <c:tx>
            <c:strRef>
              <c:f>graphics!$D$44</c:f>
              <c:strCache>
                <c:ptCount val="1"/>
                <c:pt idx="0">
                  <c:v>Health plan</c:v>
                </c:pt>
              </c:strCache>
            </c:strRef>
          </c:tx>
          <c:spPr>
            <a:solidFill>
              <a:schemeClr val="accent2"/>
            </a:solidFill>
            <a:ln>
              <a:noFill/>
            </a:ln>
            <a:effectLst/>
          </c:spPr>
          <c:invertIfNegative val="0"/>
          <c:cat>
            <c:strRef>
              <c:f>graphics!$B$45:$B$48</c:f>
              <c:strCache>
                <c:ptCount val="4"/>
                <c:pt idx="0">
                  <c:v>Business case- evidence of economic reward</c:v>
                </c:pt>
                <c:pt idx="1">
                  <c:v>Contract partners interest in value-based purchasing</c:v>
                </c:pt>
                <c:pt idx="2">
                  <c:v>Burden/ease of collecting or obtaining data</c:v>
                </c:pt>
                <c:pt idx="3">
                  <c:v>Availability and credibility of data</c:v>
                </c:pt>
              </c:strCache>
            </c:strRef>
          </c:cat>
          <c:val>
            <c:numRef>
              <c:f>graphics!$D$45:$D$48</c:f>
              <c:numCache>
                <c:formatCode>General</c:formatCode>
                <c:ptCount val="4"/>
                <c:pt idx="0">
                  <c:v>8</c:v>
                </c:pt>
                <c:pt idx="1">
                  <c:v>3.9</c:v>
                </c:pt>
                <c:pt idx="2">
                  <c:v>8.1</c:v>
                </c:pt>
                <c:pt idx="3">
                  <c:v>6</c:v>
                </c:pt>
              </c:numCache>
            </c:numRef>
          </c:val>
          <c:extLst>
            <c:ext xmlns:c16="http://schemas.microsoft.com/office/drawing/2014/chart" uri="{C3380CC4-5D6E-409C-BE32-E72D297353CC}">
              <c16:uniqueId val="{00000001-FEA3-4392-BE2E-95CD72E5C0F1}"/>
            </c:ext>
          </c:extLst>
        </c:ser>
        <c:dLbls>
          <c:showLegendKey val="0"/>
          <c:showVal val="0"/>
          <c:showCatName val="0"/>
          <c:showSerName val="0"/>
          <c:showPercent val="0"/>
          <c:showBubbleSize val="0"/>
        </c:dLbls>
        <c:gapWidth val="150"/>
        <c:overlap val="100"/>
        <c:axId val="684581936"/>
        <c:axId val="684574736"/>
      </c:barChart>
      <c:catAx>
        <c:axId val="684581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Barriers</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574736"/>
        <c:crosses val="autoZero"/>
        <c:auto val="1"/>
        <c:lblAlgn val="ctr"/>
        <c:lblOffset val="100"/>
        <c:noMultiLvlLbl val="0"/>
      </c:catAx>
      <c:valAx>
        <c:axId val="6845747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Weighted</a:t>
                </a:r>
                <a:r>
                  <a:rPr lang="en-US" baseline="0"/>
                  <a:t> Scores</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458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CAA1AF-7F9C-459E-B86E-0AA1A51AE246}">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E93EB125-93C2-4A99-B39E-2FFBA34B95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04F16E-3259-41BC-8B7C-63CECA64B957}">
  <ds:schemaRefs>
    <ds:schemaRef ds:uri="http://schemas.microsoft.com/sharepoint/v3/contenttype/forms"/>
  </ds:schemaRefs>
</ds:datastoreItem>
</file>

<file path=customXml/itemProps4.xml><?xml version="1.0" encoding="utf-8"?>
<ds:datastoreItem xmlns:ds="http://schemas.openxmlformats.org/officeDocument/2006/customXml" ds:itemID="{A154C5D4-EAEF-4F30-BCAD-421093DEE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1729</TotalTime>
  <Pages>6</Pages>
  <Words>1412</Words>
  <Characters>8053</Characters>
  <Application>Microsoft Office Word</Application>
  <DocSecurity>0</DocSecurity>
  <Lines>67</Lines>
  <Paragraphs>18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Karie Nicholas</cp:lastModifiedBy>
  <cp:revision>238</cp:revision>
  <dcterms:created xsi:type="dcterms:W3CDTF">2024-07-12T16:36:00Z</dcterms:created>
  <dcterms:modified xsi:type="dcterms:W3CDTF">2024-07-24T18:14:00Z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