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962A7" w14:textId="424C6C77" w:rsidR="007D6F1C" w:rsidRDefault="00D31E9D" w:rsidP="0AFC7898">
      <w:pPr>
        <w:spacing w:after="0" w:line="257" w:lineRule="auto"/>
        <w:jc w:val="center"/>
        <w:rPr>
          <w:rFonts w:ascii="Calibri" w:eastAsia="Calibri" w:hAnsi="Calibri" w:cs="Calibri"/>
          <w:sz w:val="22"/>
          <w:szCs w:val="22"/>
        </w:rPr>
      </w:pPr>
      <w:r>
        <w:rPr>
          <w:noProof/>
        </w:rPr>
        <mc:AlternateContent>
          <mc:Choice Requires="wps">
            <w:drawing>
              <wp:anchor distT="0" distB="0" distL="114300" distR="114300" simplePos="0" relativeHeight="251658240" behindDoc="0" locked="0" layoutInCell="1" allowOverlap="1" wp14:anchorId="08E9F5A3" wp14:editId="551F5699">
                <wp:simplePos x="0" y="0"/>
                <wp:positionH relativeFrom="margin">
                  <wp:posOffset>-658368</wp:posOffset>
                </wp:positionH>
                <wp:positionV relativeFrom="paragraph">
                  <wp:posOffset>-746150</wp:posOffset>
                </wp:positionV>
                <wp:extent cx="7272000" cy="9396000"/>
                <wp:effectExtent l="0" t="0" r="18415" b="15240"/>
                <wp:wrapNone/>
                <wp:docPr id="944741644" name="Rectangle 944741644"/>
                <wp:cNvGraphicFramePr/>
                <a:graphic xmlns:a="http://schemas.openxmlformats.org/drawingml/2006/main">
                  <a:graphicData uri="http://schemas.microsoft.com/office/word/2010/wordprocessingShape">
                    <wps:wsp>
                      <wps:cNvSpPr/>
                      <wps:spPr>
                        <a:xfrm>
                          <a:off x="0" y="0"/>
                          <a:ext cx="7272000" cy="9396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5FD18F1" w14:textId="77777777" w:rsidR="00DF524F" w:rsidRDefault="00DF524F" w:rsidP="00DF524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E9F5A3" id="Rectangle 944741644" o:spid="_x0000_s1026" style="position:absolute;left:0;text-align:left;margin-left:-51.85pt;margin-top:-58.75pt;width:572.6pt;height:739.85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" filled="f" strokecolor="#030e13 [484]" strokeweight="1pt">
                <v:textbox>
                  <w:txbxContent>
                    <w:p w14:paraId="25FD18F1" w14:textId="77777777" w:rsidR="00DF524F" w:rsidRDefault="00DF524F" w:rsidP="00DF524F">
                      <w:pPr>
                        <w:jc w:val="center"/>
                      </w:pPr>
                    </w:p>
                  </w:txbxContent>
                </v:textbox>
                <w10:wrap anchorx="margin"/>
              </v:rect>
            </w:pict>
          </mc:Fallback>
        </mc:AlternateContent>
      </w:r>
    </w:p>
    <w:p w14:paraId="7EBD4988" w14:textId="3347D620" w:rsidR="007D6F1C" w:rsidRDefault="007D6F1C" w:rsidP="0AFC7898">
      <w:pPr>
        <w:spacing w:after="0" w:line="257" w:lineRule="auto"/>
        <w:jc w:val="center"/>
        <w:rPr>
          <w:rFonts w:ascii="Calibri" w:eastAsia="Calibri" w:hAnsi="Calibri" w:cs="Calibri"/>
          <w:sz w:val="22"/>
          <w:szCs w:val="22"/>
        </w:rPr>
      </w:pPr>
    </w:p>
    <w:p w14:paraId="12A0B089" w14:textId="61FD733F" w:rsidR="007D6F1C" w:rsidRDefault="007D6F1C" w:rsidP="0AFC7898">
      <w:pPr>
        <w:spacing w:after="0" w:line="257" w:lineRule="auto"/>
        <w:jc w:val="center"/>
        <w:rPr>
          <w:rFonts w:ascii="Calibri" w:eastAsia="Calibri" w:hAnsi="Calibri" w:cs="Calibri"/>
          <w:sz w:val="22"/>
          <w:szCs w:val="22"/>
        </w:rPr>
      </w:pPr>
    </w:p>
    <w:p w14:paraId="14E837B9" w14:textId="274F8946" w:rsidR="007D6F1C" w:rsidRDefault="007D6F1C" w:rsidP="0AFC7898">
      <w:pPr>
        <w:spacing w:after="0" w:line="257" w:lineRule="auto"/>
        <w:jc w:val="center"/>
        <w:rPr>
          <w:rFonts w:ascii="Calibri" w:eastAsia="Calibri" w:hAnsi="Calibri" w:cs="Calibri"/>
          <w:sz w:val="22"/>
          <w:szCs w:val="22"/>
        </w:rPr>
      </w:pPr>
    </w:p>
    <w:p w14:paraId="06F977A9" w14:textId="2BEC0A41" w:rsidR="007D6F1C" w:rsidRDefault="0AFC7898" w:rsidP="0AFC7898">
      <w:pPr>
        <w:spacing w:after="0" w:line="257" w:lineRule="auto"/>
        <w:jc w:val="center"/>
        <w:rPr>
          <w:rFonts w:ascii="Calibri" w:eastAsia="Calibri" w:hAnsi="Calibri" w:cs="Calibri"/>
          <w:sz w:val="22"/>
          <w:szCs w:val="22"/>
        </w:rPr>
      </w:pPr>
      <w:r>
        <w:rPr>
          <w:noProof/>
        </w:rPr>
        <w:drawing>
          <wp:anchor distT="0" distB="0" distL="114300" distR="114300" simplePos="0" relativeHeight="251658241" behindDoc="0" locked="0" layoutInCell="1" allowOverlap="1" wp14:anchorId="2F3F905C" wp14:editId="50066C81">
            <wp:simplePos x="0" y="0"/>
            <wp:positionH relativeFrom="column">
              <wp:posOffset>1466850</wp:posOffset>
            </wp:positionH>
            <wp:positionV relativeFrom="paragraph">
              <wp:posOffset>47625</wp:posOffset>
            </wp:positionV>
            <wp:extent cx="3151905" cy="2036240"/>
            <wp:effectExtent l="0" t="0" r="0" b="0"/>
            <wp:wrapNone/>
            <wp:docPr id="16337902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790260" name=""/>
                    <pic:cNvPicPr/>
                  </pic:nvPicPr>
                  <pic:blipFill>
                    <a:blip r:embed="rId11">
                      <a:extLst>
                        <a:ext uri="{28A0092B-C50C-407E-A947-70E740481C1C}">
                          <a14:useLocalDpi xmlns:a14="http://schemas.microsoft.com/office/drawing/2010/main" val="0"/>
                        </a:ext>
                      </a:extLst>
                    </a:blip>
                    <a:stretch>
                      <a:fillRect/>
                    </a:stretch>
                  </pic:blipFill>
                  <pic:spPr>
                    <a:xfrm>
                      <a:off x="0" y="0"/>
                      <a:ext cx="3151905" cy="2036240"/>
                    </a:xfrm>
                    <a:prstGeom prst="rect">
                      <a:avLst/>
                    </a:prstGeom>
                  </pic:spPr>
                </pic:pic>
              </a:graphicData>
            </a:graphic>
            <wp14:sizeRelH relativeFrom="page">
              <wp14:pctWidth>0</wp14:pctWidth>
            </wp14:sizeRelH>
            <wp14:sizeRelV relativeFrom="page">
              <wp14:pctHeight>0</wp14:pctHeight>
            </wp14:sizeRelV>
          </wp:anchor>
        </w:drawing>
      </w:r>
    </w:p>
    <w:p w14:paraId="18629217" w14:textId="78B6785A" w:rsidR="007D6F1C" w:rsidRDefault="007D6F1C" w:rsidP="0AFC7898">
      <w:pPr>
        <w:spacing w:after="0" w:line="257" w:lineRule="auto"/>
        <w:jc w:val="center"/>
        <w:rPr>
          <w:rFonts w:ascii="Calibri" w:eastAsia="Calibri" w:hAnsi="Calibri" w:cs="Calibri"/>
          <w:sz w:val="22"/>
          <w:szCs w:val="22"/>
        </w:rPr>
      </w:pPr>
    </w:p>
    <w:p w14:paraId="3E443525" w14:textId="1356463A" w:rsidR="007D6F1C" w:rsidRDefault="007D6F1C" w:rsidP="0AFC7898">
      <w:pPr>
        <w:spacing w:after="0" w:line="257" w:lineRule="auto"/>
        <w:jc w:val="center"/>
        <w:rPr>
          <w:rFonts w:ascii="Calibri" w:eastAsia="Calibri" w:hAnsi="Calibri" w:cs="Calibri"/>
          <w:sz w:val="22"/>
          <w:szCs w:val="22"/>
        </w:rPr>
      </w:pPr>
    </w:p>
    <w:p w14:paraId="260B46EC" w14:textId="513956E6" w:rsidR="007D6F1C" w:rsidRDefault="007D6F1C" w:rsidP="0AFC7898">
      <w:pPr>
        <w:spacing w:after="0" w:line="257" w:lineRule="auto"/>
        <w:jc w:val="center"/>
        <w:rPr>
          <w:rFonts w:ascii="Calibri" w:eastAsia="Calibri" w:hAnsi="Calibri" w:cs="Calibri"/>
          <w:sz w:val="22"/>
          <w:szCs w:val="22"/>
        </w:rPr>
      </w:pPr>
    </w:p>
    <w:p w14:paraId="3DFAA005" w14:textId="6461A1B0" w:rsidR="007D6F1C" w:rsidRDefault="007D6F1C" w:rsidP="0AFC7898">
      <w:pPr>
        <w:spacing w:after="0" w:line="257" w:lineRule="auto"/>
        <w:jc w:val="center"/>
        <w:rPr>
          <w:rFonts w:ascii="Calibri" w:eastAsia="Calibri" w:hAnsi="Calibri" w:cs="Calibri"/>
          <w:sz w:val="22"/>
          <w:szCs w:val="22"/>
        </w:rPr>
      </w:pPr>
    </w:p>
    <w:p w14:paraId="58AFABA4" w14:textId="1FDDAAA3" w:rsidR="007D6F1C" w:rsidRDefault="007D6F1C" w:rsidP="0AFC7898">
      <w:pPr>
        <w:spacing w:after="0" w:line="257" w:lineRule="auto"/>
        <w:jc w:val="center"/>
        <w:rPr>
          <w:rFonts w:ascii="Calibri" w:eastAsia="Calibri" w:hAnsi="Calibri" w:cs="Calibri"/>
          <w:sz w:val="22"/>
          <w:szCs w:val="22"/>
        </w:rPr>
      </w:pPr>
    </w:p>
    <w:p w14:paraId="3E65D9E1" w14:textId="54713A39" w:rsidR="007D6F1C" w:rsidRDefault="007D6F1C" w:rsidP="0AFC7898">
      <w:pPr>
        <w:spacing w:after="0" w:line="257" w:lineRule="auto"/>
        <w:jc w:val="center"/>
        <w:rPr>
          <w:rFonts w:ascii="Calibri" w:eastAsia="Calibri" w:hAnsi="Calibri" w:cs="Calibri"/>
          <w:sz w:val="22"/>
          <w:szCs w:val="22"/>
        </w:rPr>
      </w:pPr>
    </w:p>
    <w:p w14:paraId="4EC5B94B" w14:textId="0776BC38" w:rsidR="007D6F1C" w:rsidRDefault="007D6F1C" w:rsidP="0AFC7898">
      <w:pPr>
        <w:spacing w:after="0" w:line="257" w:lineRule="auto"/>
        <w:jc w:val="center"/>
        <w:rPr>
          <w:rFonts w:ascii="Calibri" w:eastAsia="Calibri" w:hAnsi="Calibri" w:cs="Calibri"/>
          <w:sz w:val="22"/>
          <w:szCs w:val="22"/>
        </w:rPr>
      </w:pPr>
    </w:p>
    <w:p w14:paraId="5D900540" w14:textId="336A2DEB" w:rsidR="007D6F1C" w:rsidRDefault="007D6F1C" w:rsidP="0AFC7898">
      <w:pPr>
        <w:spacing w:after="0" w:line="257" w:lineRule="auto"/>
        <w:jc w:val="center"/>
        <w:rPr>
          <w:rFonts w:ascii="Calibri" w:eastAsia="Calibri" w:hAnsi="Calibri" w:cs="Calibri"/>
          <w:sz w:val="22"/>
          <w:szCs w:val="22"/>
        </w:rPr>
      </w:pPr>
    </w:p>
    <w:p w14:paraId="2F381257" w14:textId="593EF5E9" w:rsidR="007D6F1C" w:rsidRDefault="007D6F1C" w:rsidP="0AFC7898">
      <w:pPr>
        <w:spacing w:after="0" w:line="257" w:lineRule="auto"/>
        <w:jc w:val="center"/>
        <w:rPr>
          <w:rFonts w:ascii="Calibri" w:eastAsia="Calibri" w:hAnsi="Calibri" w:cs="Calibri"/>
          <w:sz w:val="22"/>
          <w:szCs w:val="22"/>
        </w:rPr>
      </w:pPr>
    </w:p>
    <w:p w14:paraId="63307EC7" w14:textId="11DAD76D" w:rsidR="007D6F1C" w:rsidRDefault="007D6F1C" w:rsidP="0AFC7898">
      <w:pPr>
        <w:spacing w:after="0" w:line="257" w:lineRule="auto"/>
        <w:jc w:val="center"/>
        <w:rPr>
          <w:rFonts w:ascii="Calibri" w:eastAsia="Calibri" w:hAnsi="Calibri" w:cs="Calibri"/>
          <w:sz w:val="22"/>
          <w:szCs w:val="22"/>
        </w:rPr>
      </w:pPr>
    </w:p>
    <w:p w14:paraId="1D2F49A6" w14:textId="0150A513" w:rsidR="007D6F1C" w:rsidRDefault="007D6F1C" w:rsidP="0AFC7898">
      <w:pPr>
        <w:spacing w:after="0" w:line="257" w:lineRule="auto"/>
        <w:jc w:val="center"/>
        <w:rPr>
          <w:rFonts w:ascii="Calibri" w:eastAsia="Calibri" w:hAnsi="Calibri" w:cs="Calibri"/>
          <w:sz w:val="22"/>
          <w:szCs w:val="22"/>
        </w:rPr>
      </w:pPr>
    </w:p>
    <w:p w14:paraId="220CA060" w14:textId="62159EAA" w:rsidR="007D6F1C" w:rsidRDefault="007D6F1C" w:rsidP="0AFC7898">
      <w:pPr>
        <w:spacing w:after="0" w:line="257" w:lineRule="auto"/>
        <w:jc w:val="center"/>
        <w:rPr>
          <w:rFonts w:ascii="Calibri" w:eastAsia="Calibri" w:hAnsi="Calibri" w:cs="Calibri"/>
          <w:sz w:val="22"/>
          <w:szCs w:val="22"/>
        </w:rPr>
      </w:pPr>
    </w:p>
    <w:p w14:paraId="4B52F52F" w14:textId="7001012D" w:rsidR="007D6F1C" w:rsidRDefault="007D6F1C" w:rsidP="0AFC7898">
      <w:pPr>
        <w:spacing w:after="0" w:line="257" w:lineRule="auto"/>
        <w:jc w:val="center"/>
        <w:rPr>
          <w:rFonts w:ascii="Calibri" w:eastAsia="Calibri" w:hAnsi="Calibri" w:cs="Calibri"/>
          <w:sz w:val="22"/>
          <w:szCs w:val="22"/>
        </w:rPr>
      </w:pPr>
    </w:p>
    <w:p w14:paraId="3B473A8E" w14:textId="33255611" w:rsidR="007D6F1C" w:rsidRDefault="007D6F1C" w:rsidP="0AFC7898">
      <w:pPr>
        <w:spacing w:after="0" w:line="257" w:lineRule="auto"/>
        <w:jc w:val="center"/>
        <w:rPr>
          <w:rFonts w:ascii="Calibri" w:eastAsia="Calibri" w:hAnsi="Calibri" w:cs="Calibri"/>
          <w:sz w:val="22"/>
          <w:szCs w:val="22"/>
        </w:rPr>
      </w:pPr>
    </w:p>
    <w:p w14:paraId="14407559" w14:textId="2BED2D75" w:rsidR="007D6F1C" w:rsidRDefault="2D0530D6" w:rsidP="0AFC7898">
      <w:pPr>
        <w:spacing w:after="0" w:line="257" w:lineRule="auto"/>
        <w:jc w:val="center"/>
      </w:pPr>
      <w:r w:rsidRPr="0AFC7898">
        <w:rPr>
          <w:rFonts w:ascii="Calibri" w:eastAsia="Calibri" w:hAnsi="Calibri" w:cs="Calibri"/>
          <w:sz w:val="22"/>
          <w:szCs w:val="22"/>
        </w:rPr>
        <w:t>Working together to improve health care quality, outcomes, and affordability in Washington State.</w:t>
      </w:r>
    </w:p>
    <w:p w14:paraId="21846EFB" w14:textId="1FBFF217" w:rsidR="007D6F1C" w:rsidRDefault="2D0530D6" w:rsidP="0AFC7898">
      <w:pPr>
        <w:spacing w:after="0" w:line="257" w:lineRule="auto"/>
        <w:jc w:val="both"/>
      </w:pPr>
      <w:r w:rsidRPr="0AFC7898">
        <w:rPr>
          <w:rFonts w:ascii="Calibri" w:eastAsia="Calibri" w:hAnsi="Calibri" w:cs="Calibri"/>
          <w:sz w:val="36"/>
          <w:szCs w:val="36"/>
        </w:rPr>
        <w:t xml:space="preserve"> </w:t>
      </w:r>
    </w:p>
    <w:p w14:paraId="6804A0BD" w14:textId="5AE883F7" w:rsidR="007D6F1C" w:rsidRDefault="2D0530D6" w:rsidP="786A58F1">
      <w:pPr>
        <w:pBdr>
          <w:top w:val="single" w:sz="8" w:space="1" w:color="000000"/>
          <w:bottom w:val="single" w:sz="8" w:space="1" w:color="000000"/>
        </w:pBdr>
        <w:shd w:val="clear" w:color="auto" w:fill="0099CC"/>
        <w:spacing w:after="0" w:line="257" w:lineRule="auto"/>
        <w:jc w:val="center"/>
      </w:pPr>
      <w:r w:rsidRPr="786A58F1">
        <w:rPr>
          <w:rFonts w:ascii="Calibri" w:eastAsia="Calibri" w:hAnsi="Calibri" w:cs="Calibri"/>
          <w:b/>
          <w:bCs/>
          <w:color w:val="FFFFFF" w:themeColor="background1"/>
          <w:sz w:val="40"/>
          <w:szCs w:val="40"/>
        </w:rPr>
        <w:t xml:space="preserve"> </w:t>
      </w:r>
    </w:p>
    <w:p w14:paraId="60966F54" w14:textId="4F441776" w:rsidR="6FD549CE" w:rsidRDefault="6FD549CE" w:rsidP="786A58F1">
      <w:pPr>
        <w:pBdr>
          <w:top w:val="single" w:sz="8" w:space="1" w:color="000000"/>
          <w:bottom w:val="single" w:sz="8" w:space="1" w:color="000000"/>
        </w:pBdr>
        <w:shd w:val="clear" w:color="auto" w:fill="0099CC"/>
        <w:spacing w:after="0" w:line="257" w:lineRule="auto"/>
        <w:jc w:val="center"/>
      </w:pPr>
      <w:r w:rsidRPr="786A58F1">
        <w:rPr>
          <w:rFonts w:ascii="Calibri" w:eastAsia="Calibri" w:hAnsi="Calibri" w:cs="Calibri"/>
          <w:b/>
          <w:bCs/>
          <w:color w:val="FFFFFF" w:themeColor="background1"/>
          <w:sz w:val="36"/>
          <w:szCs w:val="36"/>
        </w:rPr>
        <w:t>Surgical Patient Optimization: Glycemic Control and Anemia</w:t>
      </w:r>
    </w:p>
    <w:p w14:paraId="2A0923B3" w14:textId="4D2CFFD5" w:rsidR="007D6F1C" w:rsidRDefault="2D0530D6" w:rsidP="0AFC7898">
      <w:pPr>
        <w:pBdr>
          <w:top w:val="single" w:sz="8" w:space="1" w:color="000000"/>
          <w:bottom w:val="single" w:sz="8" w:space="1" w:color="000000"/>
        </w:pBdr>
        <w:shd w:val="clear" w:color="auto" w:fill="0099CC"/>
        <w:spacing w:after="0" w:line="257" w:lineRule="auto"/>
        <w:jc w:val="center"/>
      </w:pPr>
      <w:r w:rsidRPr="0AFC7898">
        <w:rPr>
          <w:rFonts w:ascii="Calibri" w:eastAsia="Calibri" w:hAnsi="Calibri" w:cs="Calibri"/>
          <w:b/>
          <w:bCs/>
          <w:color w:val="FFFFFF" w:themeColor="background1"/>
          <w:sz w:val="36"/>
          <w:szCs w:val="36"/>
        </w:rPr>
        <w:t>2025</w:t>
      </w:r>
    </w:p>
    <w:p w14:paraId="60692447" w14:textId="4D220929" w:rsidR="007D6F1C" w:rsidRDefault="2D0530D6" w:rsidP="0AFC7898">
      <w:pPr>
        <w:pBdr>
          <w:top w:val="single" w:sz="8" w:space="1" w:color="000000"/>
          <w:bottom w:val="single" w:sz="8" w:space="1" w:color="000000"/>
        </w:pBdr>
        <w:shd w:val="clear" w:color="auto" w:fill="0099CC"/>
        <w:spacing w:after="0" w:line="257" w:lineRule="auto"/>
        <w:jc w:val="center"/>
      </w:pPr>
      <w:r w:rsidRPr="786A58F1">
        <w:rPr>
          <w:rFonts w:ascii="Calibri" w:eastAsia="Calibri" w:hAnsi="Calibri" w:cs="Calibri"/>
          <w:b/>
          <w:bCs/>
          <w:color w:val="FFFFFF" w:themeColor="background1"/>
          <w:sz w:val="36"/>
          <w:szCs w:val="36"/>
        </w:rPr>
        <w:t xml:space="preserve"> </w:t>
      </w:r>
    </w:p>
    <w:p w14:paraId="2F92EE25" w14:textId="2312B18B" w:rsidR="007D6F1C" w:rsidRDefault="007D6F1C" w:rsidP="0AFC7898">
      <w:pPr>
        <w:spacing w:line="257" w:lineRule="auto"/>
      </w:pPr>
    </w:p>
    <w:p w14:paraId="2C078E63" w14:textId="654FF817" w:rsidR="007D6F1C" w:rsidRDefault="007D6F1C"/>
    <w:p w14:paraId="7AB931DB" w14:textId="77777777" w:rsidR="00D31E9D" w:rsidRDefault="00D31E9D"/>
    <w:p w14:paraId="6BBCCCC2" w14:textId="77777777" w:rsidR="00D31E9D" w:rsidRDefault="00D31E9D"/>
    <w:p w14:paraId="6538C370" w14:textId="77777777" w:rsidR="00D31E9D" w:rsidRDefault="00D31E9D"/>
    <w:p w14:paraId="3B648B9A" w14:textId="77777777" w:rsidR="00D31E9D" w:rsidRDefault="00D31E9D"/>
    <w:p w14:paraId="5BC5A5E9" w14:textId="77777777" w:rsidR="00D31E9D" w:rsidRDefault="00D31E9D"/>
    <w:p w14:paraId="26324BFD" w14:textId="77777777" w:rsidR="00D31E9D" w:rsidRDefault="00D31E9D"/>
    <w:p w14:paraId="16B95055" w14:textId="77777777" w:rsidR="00D31E9D" w:rsidRDefault="00D31E9D"/>
    <w:p w14:paraId="6452B5A5" w14:textId="77777777" w:rsidR="00D31E9D" w:rsidRDefault="00D31E9D"/>
    <w:p w14:paraId="686543DB" w14:textId="1E4803F7" w:rsidR="00CF4EEE" w:rsidRDefault="00D31E9D">
      <w:pPr>
        <w:pStyle w:val="TOC1"/>
        <w:tabs>
          <w:tab w:val="right" w:leader="dot" w:pos="9350"/>
        </w:tabs>
        <w:rPr>
          <w:noProof/>
          <w:kern w:val="2"/>
          <w:lang w:eastAsia="en-US"/>
          <w14:ligatures w14:val="standardContextual"/>
        </w:rPr>
      </w:pPr>
      <w:r w:rsidRPr="005B58C9">
        <w:rPr>
          <w:sz w:val="22"/>
          <w:szCs w:val="22"/>
        </w:rPr>
        <w:lastRenderedPageBreak/>
        <w:fldChar w:fldCharType="begin"/>
      </w:r>
      <w:r w:rsidRPr="005B58C9">
        <w:rPr>
          <w:sz w:val="22"/>
          <w:szCs w:val="22"/>
        </w:rPr>
        <w:instrText xml:space="preserve"> TOC \o "1-3" \h \z \u </w:instrText>
      </w:r>
      <w:r w:rsidRPr="005B58C9">
        <w:rPr>
          <w:sz w:val="22"/>
          <w:szCs w:val="22"/>
        </w:rPr>
        <w:fldChar w:fldCharType="separate"/>
      </w:r>
      <w:hyperlink w:anchor="_Toc212542276" w:history="1">
        <w:r w:rsidR="00CF4EEE" w:rsidRPr="00C25BB6">
          <w:rPr>
            <w:rStyle w:val="Hyperlink"/>
            <w:noProof/>
          </w:rPr>
          <w:t>Executive Summary</w:t>
        </w:r>
        <w:r w:rsidR="00CF4EEE">
          <w:rPr>
            <w:noProof/>
            <w:webHidden/>
          </w:rPr>
          <w:tab/>
        </w:r>
        <w:r w:rsidR="00CF4EEE">
          <w:rPr>
            <w:noProof/>
            <w:webHidden/>
          </w:rPr>
          <w:fldChar w:fldCharType="begin"/>
        </w:r>
        <w:r w:rsidR="00CF4EEE">
          <w:rPr>
            <w:noProof/>
            <w:webHidden/>
          </w:rPr>
          <w:instrText xml:space="preserve"> PAGEREF _Toc212542276 \h </w:instrText>
        </w:r>
        <w:r w:rsidR="00CF4EEE">
          <w:rPr>
            <w:noProof/>
            <w:webHidden/>
          </w:rPr>
        </w:r>
        <w:r w:rsidR="00CF4EEE">
          <w:rPr>
            <w:noProof/>
            <w:webHidden/>
          </w:rPr>
          <w:fldChar w:fldCharType="separate"/>
        </w:r>
        <w:r w:rsidR="00CF4EEE">
          <w:rPr>
            <w:noProof/>
            <w:webHidden/>
          </w:rPr>
          <w:t>4</w:t>
        </w:r>
        <w:r w:rsidR="00CF4EEE">
          <w:rPr>
            <w:noProof/>
            <w:webHidden/>
          </w:rPr>
          <w:fldChar w:fldCharType="end"/>
        </w:r>
      </w:hyperlink>
    </w:p>
    <w:p w14:paraId="0FE90D57" w14:textId="0BD03044" w:rsidR="00CF4EEE" w:rsidRDefault="00CF4EEE">
      <w:pPr>
        <w:pStyle w:val="TOC2"/>
        <w:tabs>
          <w:tab w:val="right" w:leader="dot" w:pos="9350"/>
        </w:tabs>
        <w:rPr>
          <w:noProof/>
          <w:kern w:val="2"/>
          <w:lang w:eastAsia="en-US"/>
          <w14:ligatures w14:val="standardContextual"/>
        </w:rPr>
      </w:pPr>
      <w:hyperlink w:anchor="_Toc212542277" w:history="1">
        <w:r w:rsidRPr="00C25BB6">
          <w:rPr>
            <w:rStyle w:val="Hyperlink"/>
            <w:noProof/>
          </w:rPr>
          <w:t>Procedures</w:t>
        </w:r>
        <w:r>
          <w:rPr>
            <w:noProof/>
            <w:webHidden/>
          </w:rPr>
          <w:tab/>
        </w:r>
        <w:r>
          <w:rPr>
            <w:noProof/>
            <w:webHidden/>
          </w:rPr>
          <w:fldChar w:fldCharType="begin"/>
        </w:r>
        <w:r>
          <w:rPr>
            <w:noProof/>
            <w:webHidden/>
          </w:rPr>
          <w:instrText xml:space="preserve"> PAGEREF _Toc212542277 \h </w:instrText>
        </w:r>
        <w:r>
          <w:rPr>
            <w:noProof/>
            <w:webHidden/>
          </w:rPr>
        </w:r>
        <w:r>
          <w:rPr>
            <w:noProof/>
            <w:webHidden/>
          </w:rPr>
          <w:fldChar w:fldCharType="separate"/>
        </w:r>
        <w:r>
          <w:rPr>
            <w:noProof/>
            <w:webHidden/>
          </w:rPr>
          <w:t>5</w:t>
        </w:r>
        <w:r>
          <w:rPr>
            <w:noProof/>
            <w:webHidden/>
          </w:rPr>
          <w:fldChar w:fldCharType="end"/>
        </w:r>
      </w:hyperlink>
    </w:p>
    <w:p w14:paraId="7AB181D7" w14:textId="20EEA839" w:rsidR="00CF4EEE" w:rsidRDefault="00CF4EEE">
      <w:pPr>
        <w:pStyle w:val="TOC1"/>
        <w:tabs>
          <w:tab w:val="right" w:leader="dot" w:pos="9350"/>
        </w:tabs>
        <w:rPr>
          <w:noProof/>
          <w:kern w:val="2"/>
          <w:lang w:eastAsia="en-US"/>
          <w14:ligatures w14:val="standardContextual"/>
        </w:rPr>
      </w:pPr>
      <w:hyperlink w:anchor="_Toc212542278" w:history="1">
        <w:r w:rsidRPr="00C25BB6">
          <w:rPr>
            <w:rStyle w:val="Hyperlink"/>
            <w:noProof/>
          </w:rPr>
          <w:t>Guidelines</w:t>
        </w:r>
        <w:r>
          <w:rPr>
            <w:noProof/>
            <w:webHidden/>
          </w:rPr>
          <w:tab/>
        </w:r>
        <w:r>
          <w:rPr>
            <w:noProof/>
            <w:webHidden/>
          </w:rPr>
          <w:fldChar w:fldCharType="begin"/>
        </w:r>
        <w:r>
          <w:rPr>
            <w:noProof/>
            <w:webHidden/>
          </w:rPr>
          <w:instrText xml:space="preserve"> PAGEREF _Toc212542278 \h </w:instrText>
        </w:r>
        <w:r>
          <w:rPr>
            <w:noProof/>
            <w:webHidden/>
          </w:rPr>
        </w:r>
        <w:r>
          <w:rPr>
            <w:noProof/>
            <w:webHidden/>
          </w:rPr>
          <w:fldChar w:fldCharType="separate"/>
        </w:r>
        <w:r>
          <w:rPr>
            <w:noProof/>
            <w:webHidden/>
          </w:rPr>
          <w:t>6</w:t>
        </w:r>
        <w:r>
          <w:rPr>
            <w:noProof/>
            <w:webHidden/>
          </w:rPr>
          <w:fldChar w:fldCharType="end"/>
        </w:r>
      </w:hyperlink>
    </w:p>
    <w:p w14:paraId="06CF2100" w14:textId="012F4ACF" w:rsidR="00CF4EEE" w:rsidRDefault="00CF4EEE">
      <w:pPr>
        <w:pStyle w:val="TOC2"/>
        <w:tabs>
          <w:tab w:val="right" w:leader="dot" w:pos="9350"/>
        </w:tabs>
        <w:rPr>
          <w:noProof/>
          <w:kern w:val="2"/>
          <w:lang w:eastAsia="en-US"/>
          <w14:ligatures w14:val="standardContextual"/>
        </w:rPr>
      </w:pPr>
      <w:hyperlink w:anchor="_Toc212542279" w:history="1">
        <w:r w:rsidRPr="00C25BB6">
          <w:rPr>
            <w:rStyle w:val="Hyperlink"/>
            <w:noProof/>
          </w:rPr>
          <w:t xml:space="preserve">Preoperative Clinicians (e.g., Primary Care Clinician, Perioperative Clinician, Surgery Teams, etc.) </w:t>
        </w:r>
        <w:r>
          <w:rPr>
            <w:noProof/>
            <w:webHidden/>
          </w:rPr>
          <w:tab/>
        </w:r>
        <w:r>
          <w:rPr>
            <w:noProof/>
            <w:webHidden/>
          </w:rPr>
          <w:fldChar w:fldCharType="begin"/>
        </w:r>
        <w:r>
          <w:rPr>
            <w:noProof/>
            <w:webHidden/>
          </w:rPr>
          <w:instrText xml:space="preserve"> PAGEREF _Toc212542279 \h </w:instrText>
        </w:r>
        <w:r>
          <w:rPr>
            <w:noProof/>
            <w:webHidden/>
          </w:rPr>
        </w:r>
        <w:r>
          <w:rPr>
            <w:noProof/>
            <w:webHidden/>
          </w:rPr>
          <w:fldChar w:fldCharType="separate"/>
        </w:r>
        <w:r>
          <w:rPr>
            <w:noProof/>
            <w:webHidden/>
          </w:rPr>
          <w:t>6</w:t>
        </w:r>
        <w:r>
          <w:rPr>
            <w:noProof/>
            <w:webHidden/>
          </w:rPr>
          <w:fldChar w:fldCharType="end"/>
        </w:r>
      </w:hyperlink>
    </w:p>
    <w:p w14:paraId="5331B545" w14:textId="01FC947A" w:rsidR="00CF4EEE" w:rsidRDefault="00CF4EEE">
      <w:pPr>
        <w:pStyle w:val="TOC2"/>
        <w:tabs>
          <w:tab w:val="right" w:leader="dot" w:pos="9350"/>
        </w:tabs>
        <w:rPr>
          <w:noProof/>
          <w:kern w:val="2"/>
          <w:lang w:eastAsia="en-US"/>
          <w14:ligatures w14:val="standardContextual"/>
        </w:rPr>
      </w:pPr>
      <w:hyperlink w:anchor="_Toc212542280" w:history="1">
        <w:r w:rsidRPr="00C25BB6">
          <w:rPr>
            <w:rStyle w:val="Hyperlink"/>
            <w:noProof/>
          </w:rPr>
          <w:t>Surgery Team</w:t>
        </w:r>
        <w:r>
          <w:rPr>
            <w:noProof/>
            <w:webHidden/>
          </w:rPr>
          <w:tab/>
        </w:r>
        <w:r>
          <w:rPr>
            <w:noProof/>
            <w:webHidden/>
          </w:rPr>
          <w:fldChar w:fldCharType="begin"/>
        </w:r>
        <w:r>
          <w:rPr>
            <w:noProof/>
            <w:webHidden/>
          </w:rPr>
          <w:instrText xml:space="preserve"> PAGEREF _Toc212542280 \h </w:instrText>
        </w:r>
        <w:r>
          <w:rPr>
            <w:noProof/>
            <w:webHidden/>
          </w:rPr>
        </w:r>
        <w:r>
          <w:rPr>
            <w:noProof/>
            <w:webHidden/>
          </w:rPr>
          <w:fldChar w:fldCharType="separate"/>
        </w:r>
        <w:r>
          <w:rPr>
            <w:noProof/>
            <w:webHidden/>
          </w:rPr>
          <w:t>11</w:t>
        </w:r>
        <w:r>
          <w:rPr>
            <w:noProof/>
            <w:webHidden/>
          </w:rPr>
          <w:fldChar w:fldCharType="end"/>
        </w:r>
      </w:hyperlink>
    </w:p>
    <w:p w14:paraId="350401B7" w14:textId="04218CC4" w:rsidR="00CF4EEE" w:rsidRDefault="00CF4EEE">
      <w:pPr>
        <w:pStyle w:val="TOC2"/>
        <w:tabs>
          <w:tab w:val="right" w:leader="dot" w:pos="9350"/>
        </w:tabs>
        <w:rPr>
          <w:noProof/>
          <w:kern w:val="2"/>
          <w:lang w:eastAsia="en-US"/>
          <w14:ligatures w14:val="standardContextual"/>
        </w:rPr>
      </w:pPr>
      <w:hyperlink w:anchor="_Toc212542281" w:history="1">
        <w:r w:rsidRPr="00C25BB6">
          <w:rPr>
            <w:rStyle w:val="Hyperlink"/>
            <w:noProof/>
          </w:rPr>
          <w:t xml:space="preserve">Health Delivery Systems </w:t>
        </w:r>
        <w:r>
          <w:rPr>
            <w:noProof/>
            <w:webHidden/>
          </w:rPr>
          <w:tab/>
        </w:r>
        <w:r>
          <w:rPr>
            <w:noProof/>
            <w:webHidden/>
          </w:rPr>
          <w:fldChar w:fldCharType="begin"/>
        </w:r>
        <w:r>
          <w:rPr>
            <w:noProof/>
            <w:webHidden/>
          </w:rPr>
          <w:instrText xml:space="preserve"> PAGEREF _Toc212542281 \h </w:instrText>
        </w:r>
        <w:r>
          <w:rPr>
            <w:noProof/>
            <w:webHidden/>
          </w:rPr>
        </w:r>
        <w:r>
          <w:rPr>
            <w:noProof/>
            <w:webHidden/>
          </w:rPr>
          <w:fldChar w:fldCharType="separate"/>
        </w:r>
        <w:r>
          <w:rPr>
            <w:noProof/>
            <w:webHidden/>
          </w:rPr>
          <w:t>14</w:t>
        </w:r>
        <w:r>
          <w:rPr>
            <w:noProof/>
            <w:webHidden/>
          </w:rPr>
          <w:fldChar w:fldCharType="end"/>
        </w:r>
      </w:hyperlink>
    </w:p>
    <w:p w14:paraId="75C2A7AA" w14:textId="2D6FAAA9" w:rsidR="00CF4EEE" w:rsidRDefault="00CF4EEE">
      <w:pPr>
        <w:pStyle w:val="TOC2"/>
        <w:tabs>
          <w:tab w:val="right" w:leader="dot" w:pos="9350"/>
        </w:tabs>
        <w:rPr>
          <w:noProof/>
          <w:kern w:val="2"/>
          <w:lang w:eastAsia="en-US"/>
          <w14:ligatures w14:val="standardContextual"/>
        </w:rPr>
      </w:pPr>
      <w:hyperlink w:anchor="_Toc212542282" w:history="1">
        <w:r w:rsidRPr="00C25BB6">
          <w:rPr>
            <w:rStyle w:val="Hyperlink"/>
            <w:noProof/>
          </w:rPr>
          <w:t>Health Plans</w:t>
        </w:r>
        <w:r>
          <w:rPr>
            <w:noProof/>
            <w:webHidden/>
          </w:rPr>
          <w:tab/>
        </w:r>
        <w:r>
          <w:rPr>
            <w:noProof/>
            <w:webHidden/>
          </w:rPr>
          <w:fldChar w:fldCharType="begin"/>
        </w:r>
        <w:r>
          <w:rPr>
            <w:noProof/>
            <w:webHidden/>
          </w:rPr>
          <w:instrText xml:space="preserve"> PAGEREF _Toc212542282 \h </w:instrText>
        </w:r>
        <w:r>
          <w:rPr>
            <w:noProof/>
            <w:webHidden/>
          </w:rPr>
        </w:r>
        <w:r>
          <w:rPr>
            <w:noProof/>
            <w:webHidden/>
          </w:rPr>
          <w:fldChar w:fldCharType="separate"/>
        </w:r>
        <w:r>
          <w:rPr>
            <w:noProof/>
            <w:webHidden/>
          </w:rPr>
          <w:t>16</w:t>
        </w:r>
        <w:r>
          <w:rPr>
            <w:noProof/>
            <w:webHidden/>
          </w:rPr>
          <w:fldChar w:fldCharType="end"/>
        </w:r>
      </w:hyperlink>
    </w:p>
    <w:p w14:paraId="47A70AF6" w14:textId="165A9C44" w:rsidR="00CF4EEE" w:rsidRDefault="00CF4EEE">
      <w:pPr>
        <w:pStyle w:val="TOC2"/>
        <w:tabs>
          <w:tab w:val="right" w:leader="dot" w:pos="9350"/>
        </w:tabs>
        <w:rPr>
          <w:noProof/>
          <w:kern w:val="2"/>
          <w:lang w:eastAsia="en-US"/>
          <w14:ligatures w14:val="standardContextual"/>
        </w:rPr>
      </w:pPr>
      <w:hyperlink w:anchor="_Toc212542283" w:history="1">
        <w:r w:rsidRPr="00C25BB6">
          <w:rPr>
            <w:rStyle w:val="Hyperlink"/>
            <w:noProof/>
          </w:rPr>
          <w:t>Employers</w:t>
        </w:r>
        <w:r>
          <w:rPr>
            <w:noProof/>
            <w:webHidden/>
          </w:rPr>
          <w:tab/>
        </w:r>
        <w:r>
          <w:rPr>
            <w:noProof/>
            <w:webHidden/>
          </w:rPr>
          <w:fldChar w:fldCharType="begin"/>
        </w:r>
        <w:r>
          <w:rPr>
            <w:noProof/>
            <w:webHidden/>
          </w:rPr>
          <w:instrText xml:space="preserve"> PAGEREF _Toc212542283 \h </w:instrText>
        </w:r>
        <w:r>
          <w:rPr>
            <w:noProof/>
            <w:webHidden/>
          </w:rPr>
        </w:r>
        <w:r>
          <w:rPr>
            <w:noProof/>
            <w:webHidden/>
          </w:rPr>
          <w:fldChar w:fldCharType="separate"/>
        </w:r>
        <w:r>
          <w:rPr>
            <w:noProof/>
            <w:webHidden/>
          </w:rPr>
          <w:t>18</w:t>
        </w:r>
        <w:r>
          <w:rPr>
            <w:noProof/>
            <w:webHidden/>
          </w:rPr>
          <w:fldChar w:fldCharType="end"/>
        </w:r>
      </w:hyperlink>
    </w:p>
    <w:p w14:paraId="6E5C4FEA" w14:textId="2D95D182" w:rsidR="00CF4EEE" w:rsidRDefault="00CF4EEE">
      <w:pPr>
        <w:pStyle w:val="TOC2"/>
        <w:tabs>
          <w:tab w:val="right" w:leader="dot" w:pos="9350"/>
        </w:tabs>
        <w:rPr>
          <w:noProof/>
          <w:kern w:val="2"/>
          <w:lang w:eastAsia="en-US"/>
          <w14:ligatures w14:val="standardContextual"/>
        </w:rPr>
      </w:pPr>
      <w:hyperlink w:anchor="_Toc212542284" w:history="1">
        <w:r w:rsidRPr="00C25BB6">
          <w:rPr>
            <w:rStyle w:val="Hyperlink"/>
            <w:noProof/>
          </w:rPr>
          <w:t>Washington Health Care Authority</w:t>
        </w:r>
        <w:r>
          <w:rPr>
            <w:noProof/>
            <w:webHidden/>
          </w:rPr>
          <w:tab/>
        </w:r>
        <w:r>
          <w:rPr>
            <w:noProof/>
            <w:webHidden/>
          </w:rPr>
          <w:fldChar w:fldCharType="begin"/>
        </w:r>
        <w:r>
          <w:rPr>
            <w:noProof/>
            <w:webHidden/>
          </w:rPr>
          <w:instrText xml:space="preserve"> PAGEREF _Toc212542284 \h </w:instrText>
        </w:r>
        <w:r>
          <w:rPr>
            <w:noProof/>
            <w:webHidden/>
          </w:rPr>
        </w:r>
        <w:r>
          <w:rPr>
            <w:noProof/>
            <w:webHidden/>
          </w:rPr>
          <w:fldChar w:fldCharType="separate"/>
        </w:r>
        <w:r>
          <w:rPr>
            <w:noProof/>
            <w:webHidden/>
          </w:rPr>
          <w:t>18</w:t>
        </w:r>
        <w:r>
          <w:rPr>
            <w:noProof/>
            <w:webHidden/>
          </w:rPr>
          <w:fldChar w:fldCharType="end"/>
        </w:r>
      </w:hyperlink>
    </w:p>
    <w:p w14:paraId="6672A7F6" w14:textId="12E80B10" w:rsidR="00CF4EEE" w:rsidRDefault="00CF4EEE">
      <w:pPr>
        <w:pStyle w:val="TOC1"/>
        <w:tabs>
          <w:tab w:val="right" w:leader="dot" w:pos="9350"/>
        </w:tabs>
        <w:rPr>
          <w:noProof/>
          <w:kern w:val="2"/>
          <w:lang w:eastAsia="en-US"/>
          <w14:ligatures w14:val="standardContextual"/>
        </w:rPr>
      </w:pPr>
      <w:hyperlink w:anchor="_Toc212542285" w:history="1">
        <w:r w:rsidRPr="00C25BB6">
          <w:rPr>
            <w:rStyle w:val="Hyperlink"/>
            <w:noProof/>
          </w:rPr>
          <w:t>Background</w:t>
        </w:r>
        <w:r>
          <w:rPr>
            <w:noProof/>
            <w:webHidden/>
          </w:rPr>
          <w:tab/>
        </w:r>
        <w:r>
          <w:rPr>
            <w:noProof/>
            <w:webHidden/>
          </w:rPr>
          <w:fldChar w:fldCharType="begin"/>
        </w:r>
        <w:r>
          <w:rPr>
            <w:noProof/>
            <w:webHidden/>
          </w:rPr>
          <w:instrText xml:space="preserve"> PAGEREF _Toc212542285 \h </w:instrText>
        </w:r>
        <w:r>
          <w:rPr>
            <w:noProof/>
            <w:webHidden/>
          </w:rPr>
        </w:r>
        <w:r>
          <w:rPr>
            <w:noProof/>
            <w:webHidden/>
          </w:rPr>
          <w:fldChar w:fldCharType="separate"/>
        </w:r>
        <w:r>
          <w:rPr>
            <w:noProof/>
            <w:webHidden/>
          </w:rPr>
          <w:t>19</w:t>
        </w:r>
        <w:r>
          <w:rPr>
            <w:noProof/>
            <w:webHidden/>
          </w:rPr>
          <w:fldChar w:fldCharType="end"/>
        </w:r>
      </w:hyperlink>
    </w:p>
    <w:p w14:paraId="57A26E32" w14:textId="0DA1BDA4" w:rsidR="00CF4EEE" w:rsidRDefault="00CF4EEE">
      <w:pPr>
        <w:pStyle w:val="TOC2"/>
        <w:tabs>
          <w:tab w:val="right" w:leader="dot" w:pos="9350"/>
        </w:tabs>
        <w:rPr>
          <w:noProof/>
          <w:kern w:val="2"/>
          <w:lang w:eastAsia="en-US"/>
          <w14:ligatures w14:val="standardContextual"/>
        </w:rPr>
      </w:pPr>
      <w:hyperlink w:anchor="_Toc212542286" w:history="1">
        <w:r w:rsidRPr="00C25BB6">
          <w:rPr>
            <w:rStyle w:val="Hyperlink"/>
            <w:noProof/>
          </w:rPr>
          <w:t>Glycemic Control</w:t>
        </w:r>
        <w:r>
          <w:rPr>
            <w:noProof/>
            <w:webHidden/>
          </w:rPr>
          <w:tab/>
        </w:r>
        <w:r>
          <w:rPr>
            <w:noProof/>
            <w:webHidden/>
          </w:rPr>
          <w:fldChar w:fldCharType="begin"/>
        </w:r>
        <w:r>
          <w:rPr>
            <w:noProof/>
            <w:webHidden/>
          </w:rPr>
          <w:instrText xml:space="preserve"> PAGEREF _Toc212542286 \h </w:instrText>
        </w:r>
        <w:r>
          <w:rPr>
            <w:noProof/>
            <w:webHidden/>
          </w:rPr>
        </w:r>
        <w:r>
          <w:rPr>
            <w:noProof/>
            <w:webHidden/>
          </w:rPr>
          <w:fldChar w:fldCharType="separate"/>
        </w:r>
        <w:r>
          <w:rPr>
            <w:noProof/>
            <w:webHidden/>
          </w:rPr>
          <w:t>19</w:t>
        </w:r>
        <w:r>
          <w:rPr>
            <w:noProof/>
            <w:webHidden/>
          </w:rPr>
          <w:fldChar w:fldCharType="end"/>
        </w:r>
      </w:hyperlink>
    </w:p>
    <w:p w14:paraId="0D6A483D" w14:textId="1F931BCB" w:rsidR="00CF4EEE" w:rsidRDefault="00CF4EEE">
      <w:pPr>
        <w:pStyle w:val="TOC2"/>
        <w:tabs>
          <w:tab w:val="right" w:leader="dot" w:pos="9350"/>
        </w:tabs>
        <w:rPr>
          <w:noProof/>
          <w:kern w:val="2"/>
          <w:lang w:eastAsia="en-US"/>
          <w14:ligatures w14:val="standardContextual"/>
        </w:rPr>
      </w:pPr>
      <w:hyperlink w:anchor="_Toc212542287" w:history="1">
        <w:r w:rsidRPr="00C25BB6">
          <w:rPr>
            <w:rStyle w:val="Hyperlink"/>
            <w:noProof/>
          </w:rPr>
          <w:t>Anemia</w:t>
        </w:r>
        <w:r>
          <w:rPr>
            <w:noProof/>
            <w:webHidden/>
          </w:rPr>
          <w:tab/>
        </w:r>
        <w:r>
          <w:rPr>
            <w:noProof/>
            <w:webHidden/>
          </w:rPr>
          <w:fldChar w:fldCharType="begin"/>
        </w:r>
        <w:r>
          <w:rPr>
            <w:noProof/>
            <w:webHidden/>
          </w:rPr>
          <w:instrText xml:space="preserve"> PAGEREF _Toc212542287 \h </w:instrText>
        </w:r>
        <w:r>
          <w:rPr>
            <w:noProof/>
            <w:webHidden/>
          </w:rPr>
        </w:r>
        <w:r>
          <w:rPr>
            <w:noProof/>
            <w:webHidden/>
          </w:rPr>
          <w:fldChar w:fldCharType="separate"/>
        </w:r>
        <w:r>
          <w:rPr>
            <w:noProof/>
            <w:webHidden/>
          </w:rPr>
          <w:t>20</w:t>
        </w:r>
        <w:r>
          <w:rPr>
            <w:noProof/>
            <w:webHidden/>
          </w:rPr>
          <w:fldChar w:fldCharType="end"/>
        </w:r>
      </w:hyperlink>
    </w:p>
    <w:p w14:paraId="4161F7FE" w14:textId="6FA85A40" w:rsidR="00CF4EEE" w:rsidRDefault="00CF4EEE">
      <w:pPr>
        <w:pStyle w:val="TOC2"/>
        <w:tabs>
          <w:tab w:val="right" w:leader="dot" w:pos="9350"/>
        </w:tabs>
        <w:rPr>
          <w:noProof/>
          <w:kern w:val="2"/>
          <w:lang w:eastAsia="en-US"/>
          <w14:ligatures w14:val="standardContextual"/>
        </w:rPr>
      </w:pPr>
      <w:hyperlink w:anchor="_Toc212542288" w:history="1">
        <w:r w:rsidRPr="00C25BB6">
          <w:rPr>
            <w:rStyle w:val="Hyperlink"/>
            <w:noProof/>
          </w:rPr>
          <w:t>Prioritizing Optimization</w:t>
        </w:r>
        <w:r>
          <w:rPr>
            <w:noProof/>
            <w:webHidden/>
          </w:rPr>
          <w:tab/>
        </w:r>
        <w:r>
          <w:rPr>
            <w:noProof/>
            <w:webHidden/>
          </w:rPr>
          <w:fldChar w:fldCharType="begin"/>
        </w:r>
        <w:r>
          <w:rPr>
            <w:noProof/>
            <w:webHidden/>
          </w:rPr>
          <w:instrText xml:space="preserve"> PAGEREF _Toc212542288 \h </w:instrText>
        </w:r>
        <w:r>
          <w:rPr>
            <w:noProof/>
            <w:webHidden/>
          </w:rPr>
        </w:r>
        <w:r>
          <w:rPr>
            <w:noProof/>
            <w:webHidden/>
          </w:rPr>
          <w:fldChar w:fldCharType="separate"/>
        </w:r>
        <w:r>
          <w:rPr>
            <w:noProof/>
            <w:webHidden/>
          </w:rPr>
          <w:t>21</w:t>
        </w:r>
        <w:r>
          <w:rPr>
            <w:noProof/>
            <w:webHidden/>
          </w:rPr>
          <w:fldChar w:fldCharType="end"/>
        </w:r>
      </w:hyperlink>
    </w:p>
    <w:p w14:paraId="6673AF13" w14:textId="64BA62C9" w:rsidR="00CF4EEE" w:rsidRDefault="00CF4EEE">
      <w:pPr>
        <w:pStyle w:val="TOC2"/>
        <w:tabs>
          <w:tab w:val="right" w:leader="dot" w:pos="9350"/>
        </w:tabs>
        <w:rPr>
          <w:noProof/>
          <w:kern w:val="2"/>
          <w:lang w:eastAsia="en-US"/>
          <w14:ligatures w14:val="standardContextual"/>
        </w:rPr>
      </w:pPr>
      <w:hyperlink w:anchor="_Toc212542289" w:history="1">
        <w:r w:rsidRPr="00C25BB6">
          <w:rPr>
            <w:rStyle w:val="Hyperlink"/>
            <w:noProof/>
          </w:rPr>
          <w:t>Measurement</w:t>
        </w:r>
        <w:r>
          <w:rPr>
            <w:noProof/>
            <w:webHidden/>
          </w:rPr>
          <w:tab/>
        </w:r>
        <w:r>
          <w:rPr>
            <w:noProof/>
            <w:webHidden/>
          </w:rPr>
          <w:fldChar w:fldCharType="begin"/>
        </w:r>
        <w:r>
          <w:rPr>
            <w:noProof/>
            <w:webHidden/>
          </w:rPr>
          <w:instrText xml:space="preserve"> PAGEREF _Toc212542289 \h </w:instrText>
        </w:r>
        <w:r>
          <w:rPr>
            <w:noProof/>
            <w:webHidden/>
          </w:rPr>
        </w:r>
        <w:r>
          <w:rPr>
            <w:noProof/>
            <w:webHidden/>
          </w:rPr>
          <w:fldChar w:fldCharType="separate"/>
        </w:r>
        <w:r>
          <w:rPr>
            <w:noProof/>
            <w:webHidden/>
          </w:rPr>
          <w:t>21</w:t>
        </w:r>
        <w:r>
          <w:rPr>
            <w:noProof/>
            <w:webHidden/>
          </w:rPr>
          <w:fldChar w:fldCharType="end"/>
        </w:r>
      </w:hyperlink>
    </w:p>
    <w:p w14:paraId="7F106A01" w14:textId="2EE53310" w:rsidR="00CF4EEE" w:rsidRDefault="00CF4EEE">
      <w:pPr>
        <w:pStyle w:val="TOC2"/>
        <w:tabs>
          <w:tab w:val="right" w:leader="dot" w:pos="9350"/>
        </w:tabs>
        <w:rPr>
          <w:noProof/>
          <w:kern w:val="2"/>
          <w:lang w:eastAsia="en-US"/>
          <w14:ligatures w14:val="standardContextual"/>
        </w:rPr>
      </w:pPr>
      <w:hyperlink w:anchor="_Toc212542290" w:history="1">
        <w:r w:rsidRPr="00C25BB6">
          <w:rPr>
            <w:rStyle w:val="Hyperlink"/>
            <w:noProof/>
          </w:rPr>
          <w:t>Paying for Value</w:t>
        </w:r>
        <w:r>
          <w:rPr>
            <w:noProof/>
            <w:webHidden/>
          </w:rPr>
          <w:tab/>
        </w:r>
        <w:r>
          <w:rPr>
            <w:noProof/>
            <w:webHidden/>
          </w:rPr>
          <w:fldChar w:fldCharType="begin"/>
        </w:r>
        <w:r>
          <w:rPr>
            <w:noProof/>
            <w:webHidden/>
          </w:rPr>
          <w:instrText xml:space="preserve"> PAGEREF _Toc212542290 \h </w:instrText>
        </w:r>
        <w:r>
          <w:rPr>
            <w:noProof/>
            <w:webHidden/>
          </w:rPr>
        </w:r>
        <w:r>
          <w:rPr>
            <w:noProof/>
            <w:webHidden/>
          </w:rPr>
          <w:fldChar w:fldCharType="separate"/>
        </w:r>
        <w:r>
          <w:rPr>
            <w:noProof/>
            <w:webHidden/>
          </w:rPr>
          <w:t>22</w:t>
        </w:r>
        <w:r>
          <w:rPr>
            <w:noProof/>
            <w:webHidden/>
          </w:rPr>
          <w:fldChar w:fldCharType="end"/>
        </w:r>
      </w:hyperlink>
    </w:p>
    <w:p w14:paraId="33BF9D1A" w14:textId="451C4F14" w:rsidR="00CF4EEE" w:rsidRDefault="00CF4EEE">
      <w:pPr>
        <w:pStyle w:val="TOC1"/>
        <w:tabs>
          <w:tab w:val="right" w:leader="dot" w:pos="9350"/>
        </w:tabs>
        <w:rPr>
          <w:noProof/>
          <w:kern w:val="2"/>
          <w:lang w:eastAsia="en-US"/>
          <w14:ligatures w14:val="standardContextual"/>
        </w:rPr>
      </w:pPr>
      <w:hyperlink w:anchor="_Toc212542291" w:history="1">
        <w:r w:rsidRPr="00C25BB6">
          <w:rPr>
            <w:rStyle w:val="Hyperlink"/>
            <w:noProof/>
          </w:rPr>
          <w:t>Appendices</w:t>
        </w:r>
        <w:r>
          <w:rPr>
            <w:noProof/>
            <w:webHidden/>
          </w:rPr>
          <w:tab/>
        </w:r>
        <w:r>
          <w:rPr>
            <w:noProof/>
            <w:webHidden/>
          </w:rPr>
          <w:fldChar w:fldCharType="begin"/>
        </w:r>
        <w:r>
          <w:rPr>
            <w:noProof/>
            <w:webHidden/>
          </w:rPr>
          <w:instrText xml:space="preserve"> PAGEREF _Toc212542291 \h </w:instrText>
        </w:r>
        <w:r>
          <w:rPr>
            <w:noProof/>
            <w:webHidden/>
          </w:rPr>
        </w:r>
        <w:r>
          <w:rPr>
            <w:noProof/>
            <w:webHidden/>
          </w:rPr>
          <w:fldChar w:fldCharType="separate"/>
        </w:r>
        <w:r>
          <w:rPr>
            <w:noProof/>
            <w:webHidden/>
          </w:rPr>
          <w:t>24</w:t>
        </w:r>
        <w:r>
          <w:rPr>
            <w:noProof/>
            <w:webHidden/>
          </w:rPr>
          <w:fldChar w:fldCharType="end"/>
        </w:r>
      </w:hyperlink>
    </w:p>
    <w:p w14:paraId="58FAC848" w14:textId="6395E4FD" w:rsidR="00CF4EEE" w:rsidRDefault="00CF4EEE">
      <w:pPr>
        <w:pStyle w:val="TOC2"/>
        <w:tabs>
          <w:tab w:val="right" w:leader="dot" w:pos="9350"/>
        </w:tabs>
        <w:rPr>
          <w:noProof/>
          <w:kern w:val="2"/>
          <w:lang w:eastAsia="en-US"/>
          <w14:ligatures w14:val="standardContextual"/>
        </w:rPr>
      </w:pPr>
      <w:hyperlink w:anchor="_Toc212542292" w:history="1">
        <w:r w:rsidRPr="00C25BB6">
          <w:rPr>
            <w:rStyle w:val="Hyperlink"/>
            <w:noProof/>
          </w:rPr>
          <w:t>Appendix A. Bree Collaborative Members</w:t>
        </w:r>
        <w:r>
          <w:rPr>
            <w:noProof/>
            <w:webHidden/>
          </w:rPr>
          <w:tab/>
        </w:r>
        <w:r>
          <w:rPr>
            <w:noProof/>
            <w:webHidden/>
          </w:rPr>
          <w:fldChar w:fldCharType="begin"/>
        </w:r>
        <w:r>
          <w:rPr>
            <w:noProof/>
            <w:webHidden/>
          </w:rPr>
          <w:instrText xml:space="preserve"> PAGEREF _Toc212542292 \h </w:instrText>
        </w:r>
        <w:r>
          <w:rPr>
            <w:noProof/>
            <w:webHidden/>
          </w:rPr>
        </w:r>
        <w:r>
          <w:rPr>
            <w:noProof/>
            <w:webHidden/>
          </w:rPr>
          <w:fldChar w:fldCharType="separate"/>
        </w:r>
        <w:r>
          <w:rPr>
            <w:noProof/>
            <w:webHidden/>
          </w:rPr>
          <w:t>24</w:t>
        </w:r>
        <w:r>
          <w:rPr>
            <w:noProof/>
            <w:webHidden/>
          </w:rPr>
          <w:fldChar w:fldCharType="end"/>
        </w:r>
      </w:hyperlink>
    </w:p>
    <w:p w14:paraId="27E26A31" w14:textId="7EB82E14" w:rsidR="00CF4EEE" w:rsidRDefault="00CF4EEE">
      <w:pPr>
        <w:pStyle w:val="TOC2"/>
        <w:tabs>
          <w:tab w:val="right" w:leader="dot" w:pos="9350"/>
        </w:tabs>
        <w:rPr>
          <w:noProof/>
          <w:kern w:val="2"/>
          <w:lang w:eastAsia="en-US"/>
          <w14:ligatures w14:val="standardContextual"/>
        </w:rPr>
      </w:pPr>
      <w:hyperlink w:anchor="_Toc212542293" w:history="1">
        <w:r w:rsidRPr="00C25BB6">
          <w:rPr>
            <w:rStyle w:val="Hyperlink"/>
            <w:noProof/>
          </w:rPr>
          <w:t>Appendix B. Surgical Optimization Workgroup Charter and Roster</w:t>
        </w:r>
        <w:r>
          <w:rPr>
            <w:noProof/>
            <w:webHidden/>
          </w:rPr>
          <w:tab/>
        </w:r>
        <w:r>
          <w:rPr>
            <w:noProof/>
            <w:webHidden/>
          </w:rPr>
          <w:fldChar w:fldCharType="begin"/>
        </w:r>
        <w:r>
          <w:rPr>
            <w:noProof/>
            <w:webHidden/>
          </w:rPr>
          <w:instrText xml:space="preserve"> PAGEREF _Toc212542293 \h </w:instrText>
        </w:r>
        <w:r>
          <w:rPr>
            <w:noProof/>
            <w:webHidden/>
          </w:rPr>
        </w:r>
        <w:r>
          <w:rPr>
            <w:noProof/>
            <w:webHidden/>
          </w:rPr>
          <w:fldChar w:fldCharType="separate"/>
        </w:r>
        <w:r>
          <w:rPr>
            <w:noProof/>
            <w:webHidden/>
          </w:rPr>
          <w:t>25</w:t>
        </w:r>
        <w:r>
          <w:rPr>
            <w:noProof/>
            <w:webHidden/>
          </w:rPr>
          <w:fldChar w:fldCharType="end"/>
        </w:r>
      </w:hyperlink>
    </w:p>
    <w:p w14:paraId="4F8C06C8" w14:textId="010EBE5D" w:rsidR="00CF4EEE" w:rsidRDefault="00CF4EEE">
      <w:pPr>
        <w:pStyle w:val="TOC2"/>
        <w:tabs>
          <w:tab w:val="right" w:leader="dot" w:pos="9350"/>
        </w:tabs>
        <w:rPr>
          <w:noProof/>
          <w:kern w:val="2"/>
          <w:lang w:eastAsia="en-US"/>
          <w14:ligatures w14:val="standardContextual"/>
        </w:rPr>
      </w:pPr>
      <w:hyperlink w:anchor="_Toc212542307" w:history="1">
        <w:r w:rsidRPr="00C25BB6">
          <w:rPr>
            <w:rStyle w:val="Hyperlink"/>
            <w:noProof/>
          </w:rPr>
          <w:t>Appendix C. Guidelines and Systematic Reviews</w:t>
        </w:r>
        <w:r>
          <w:rPr>
            <w:noProof/>
            <w:webHidden/>
          </w:rPr>
          <w:tab/>
        </w:r>
        <w:r>
          <w:rPr>
            <w:noProof/>
            <w:webHidden/>
          </w:rPr>
          <w:fldChar w:fldCharType="begin"/>
        </w:r>
        <w:r>
          <w:rPr>
            <w:noProof/>
            <w:webHidden/>
          </w:rPr>
          <w:instrText xml:space="preserve"> PAGEREF _Toc212542307 \h </w:instrText>
        </w:r>
        <w:r>
          <w:rPr>
            <w:noProof/>
            <w:webHidden/>
          </w:rPr>
        </w:r>
        <w:r>
          <w:rPr>
            <w:noProof/>
            <w:webHidden/>
          </w:rPr>
          <w:fldChar w:fldCharType="separate"/>
        </w:r>
        <w:r>
          <w:rPr>
            <w:noProof/>
            <w:webHidden/>
          </w:rPr>
          <w:t>29</w:t>
        </w:r>
        <w:r>
          <w:rPr>
            <w:noProof/>
            <w:webHidden/>
          </w:rPr>
          <w:fldChar w:fldCharType="end"/>
        </w:r>
      </w:hyperlink>
    </w:p>
    <w:p w14:paraId="49ECFCC0" w14:textId="62FA080D" w:rsidR="00CF4EEE" w:rsidRDefault="00CF4EEE">
      <w:pPr>
        <w:pStyle w:val="TOC2"/>
        <w:tabs>
          <w:tab w:val="right" w:leader="dot" w:pos="9350"/>
        </w:tabs>
        <w:rPr>
          <w:noProof/>
          <w:kern w:val="2"/>
          <w:lang w:eastAsia="en-US"/>
          <w14:ligatures w14:val="standardContextual"/>
        </w:rPr>
      </w:pPr>
      <w:hyperlink w:anchor="_Toc212542308" w:history="1">
        <w:r w:rsidRPr="00C25BB6">
          <w:rPr>
            <w:rStyle w:val="Hyperlink"/>
            <w:noProof/>
          </w:rPr>
          <w:t>Appendix D. Common clinical conditions that affect hemoglobin A1c (Cleveland Clinic)</w:t>
        </w:r>
        <w:r w:rsidRPr="00C25BB6">
          <w:rPr>
            <w:rStyle w:val="Hyperlink"/>
            <w:rFonts w:ascii="ZWAdobeF" w:hAnsi="ZWAdobeF" w:cs="ZWAdobeF"/>
            <w:noProof/>
          </w:rPr>
          <w:t>43F</w:t>
        </w:r>
        <w:r>
          <w:rPr>
            <w:noProof/>
            <w:webHidden/>
          </w:rPr>
          <w:tab/>
        </w:r>
        <w:r>
          <w:rPr>
            <w:noProof/>
            <w:webHidden/>
          </w:rPr>
          <w:fldChar w:fldCharType="begin"/>
        </w:r>
        <w:r>
          <w:rPr>
            <w:noProof/>
            <w:webHidden/>
          </w:rPr>
          <w:instrText xml:space="preserve"> PAGEREF _Toc212542308 \h </w:instrText>
        </w:r>
        <w:r>
          <w:rPr>
            <w:noProof/>
            <w:webHidden/>
          </w:rPr>
        </w:r>
        <w:r>
          <w:rPr>
            <w:noProof/>
            <w:webHidden/>
          </w:rPr>
          <w:fldChar w:fldCharType="separate"/>
        </w:r>
        <w:r>
          <w:rPr>
            <w:noProof/>
            <w:webHidden/>
          </w:rPr>
          <w:t>31</w:t>
        </w:r>
        <w:r>
          <w:rPr>
            <w:noProof/>
            <w:webHidden/>
          </w:rPr>
          <w:fldChar w:fldCharType="end"/>
        </w:r>
      </w:hyperlink>
    </w:p>
    <w:p w14:paraId="23A92047" w14:textId="6B349527" w:rsidR="00CF4EEE" w:rsidRDefault="00CF4EEE">
      <w:pPr>
        <w:pStyle w:val="TOC2"/>
        <w:tabs>
          <w:tab w:val="right" w:leader="dot" w:pos="9350"/>
        </w:tabs>
        <w:rPr>
          <w:noProof/>
          <w:kern w:val="2"/>
          <w:lang w:eastAsia="en-US"/>
          <w14:ligatures w14:val="standardContextual"/>
        </w:rPr>
      </w:pPr>
      <w:hyperlink w:anchor="_Toc212542309" w:history="1">
        <w:r w:rsidRPr="00C25BB6">
          <w:rPr>
            <w:rStyle w:val="Hyperlink"/>
            <w:noProof/>
          </w:rPr>
          <w:t>Appendix E. Considerations for perioperative glycemic control in patient’s with diabetes based on surgical and patient risk</w:t>
        </w:r>
        <w:r>
          <w:rPr>
            <w:noProof/>
            <w:webHidden/>
          </w:rPr>
          <w:tab/>
        </w:r>
        <w:r>
          <w:rPr>
            <w:noProof/>
            <w:webHidden/>
          </w:rPr>
          <w:fldChar w:fldCharType="begin"/>
        </w:r>
        <w:r>
          <w:rPr>
            <w:noProof/>
            <w:webHidden/>
          </w:rPr>
          <w:instrText xml:space="preserve"> PAGEREF _Toc212542309 \h </w:instrText>
        </w:r>
        <w:r>
          <w:rPr>
            <w:noProof/>
            <w:webHidden/>
          </w:rPr>
        </w:r>
        <w:r>
          <w:rPr>
            <w:noProof/>
            <w:webHidden/>
          </w:rPr>
          <w:fldChar w:fldCharType="separate"/>
        </w:r>
        <w:r>
          <w:rPr>
            <w:noProof/>
            <w:webHidden/>
          </w:rPr>
          <w:t>32</w:t>
        </w:r>
        <w:r>
          <w:rPr>
            <w:noProof/>
            <w:webHidden/>
          </w:rPr>
          <w:fldChar w:fldCharType="end"/>
        </w:r>
      </w:hyperlink>
    </w:p>
    <w:p w14:paraId="2A48050F" w14:textId="627C2F3A" w:rsidR="00CF4EEE" w:rsidRDefault="00CF4EEE">
      <w:pPr>
        <w:pStyle w:val="TOC2"/>
        <w:tabs>
          <w:tab w:val="right" w:leader="dot" w:pos="9350"/>
        </w:tabs>
        <w:rPr>
          <w:noProof/>
          <w:kern w:val="2"/>
          <w:lang w:eastAsia="en-US"/>
          <w14:ligatures w14:val="standardContextual"/>
        </w:rPr>
      </w:pPr>
      <w:hyperlink w:anchor="_Toc212542310" w:history="1">
        <w:r w:rsidRPr="00C25BB6">
          <w:rPr>
            <w:rStyle w:val="Hyperlink"/>
            <w:noProof/>
          </w:rPr>
          <w:t>Appendix F. General Intraoperative Insulin Guidelines for Patients with Diabetes</w:t>
        </w:r>
        <w:r>
          <w:rPr>
            <w:noProof/>
            <w:webHidden/>
          </w:rPr>
          <w:tab/>
        </w:r>
        <w:r>
          <w:rPr>
            <w:noProof/>
            <w:webHidden/>
          </w:rPr>
          <w:fldChar w:fldCharType="begin"/>
        </w:r>
        <w:r>
          <w:rPr>
            <w:noProof/>
            <w:webHidden/>
          </w:rPr>
          <w:instrText xml:space="preserve"> PAGEREF _Toc212542310 \h </w:instrText>
        </w:r>
        <w:r>
          <w:rPr>
            <w:noProof/>
            <w:webHidden/>
          </w:rPr>
        </w:r>
        <w:r>
          <w:rPr>
            <w:noProof/>
            <w:webHidden/>
          </w:rPr>
          <w:fldChar w:fldCharType="separate"/>
        </w:r>
        <w:r>
          <w:rPr>
            <w:noProof/>
            <w:webHidden/>
          </w:rPr>
          <w:t>33</w:t>
        </w:r>
        <w:r>
          <w:rPr>
            <w:noProof/>
            <w:webHidden/>
          </w:rPr>
          <w:fldChar w:fldCharType="end"/>
        </w:r>
      </w:hyperlink>
    </w:p>
    <w:p w14:paraId="27F6CBF2" w14:textId="3BAF3768" w:rsidR="00CF4EEE" w:rsidRDefault="00CF4EEE">
      <w:pPr>
        <w:pStyle w:val="TOC2"/>
        <w:tabs>
          <w:tab w:val="right" w:leader="dot" w:pos="9350"/>
        </w:tabs>
        <w:rPr>
          <w:noProof/>
          <w:kern w:val="2"/>
          <w:lang w:eastAsia="en-US"/>
          <w14:ligatures w14:val="standardContextual"/>
        </w:rPr>
      </w:pPr>
      <w:hyperlink w:anchor="_Toc212542311" w:history="1">
        <w:r w:rsidRPr="00C25BB6">
          <w:rPr>
            <w:rStyle w:val="Hyperlink"/>
            <w:noProof/>
          </w:rPr>
          <w:t>Appendix G. Intravenous Iron Formulations</w:t>
        </w:r>
        <w:r w:rsidRPr="00C25BB6">
          <w:rPr>
            <w:rStyle w:val="Hyperlink"/>
            <w:rFonts w:ascii="ZWAdobeF" w:hAnsi="ZWAdobeF" w:cs="ZWAdobeF"/>
            <w:noProof/>
          </w:rPr>
          <w:t>1F</w:t>
        </w:r>
        <w:r>
          <w:rPr>
            <w:noProof/>
            <w:webHidden/>
          </w:rPr>
          <w:tab/>
        </w:r>
        <w:r>
          <w:rPr>
            <w:noProof/>
            <w:webHidden/>
          </w:rPr>
          <w:fldChar w:fldCharType="begin"/>
        </w:r>
        <w:r>
          <w:rPr>
            <w:noProof/>
            <w:webHidden/>
          </w:rPr>
          <w:instrText xml:space="preserve"> PAGEREF _Toc212542311 \h </w:instrText>
        </w:r>
        <w:r>
          <w:rPr>
            <w:noProof/>
            <w:webHidden/>
          </w:rPr>
        </w:r>
        <w:r>
          <w:rPr>
            <w:noProof/>
            <w:webHidden/>
          </w:rPr>
          <w:fldChar w:fldCharType="separate"/>
        </w:r>
        <w:r>
          <w:rPr>
            <w:noProof/>
            <w:webHidden/>
          </w:rPr>
          <w:t>34</w:t>
        </w:r>
        <w:r>
          <w:rPr>
            <w:noProof/>
            <w:webHidden/>
          </w:rPr>
          <w:fldChar w:fldCharType="end"/>
        </w:r>
      </w:hyperlink>
    </w:p>
    <w:p w14:paraId="41FABEEF" w14:textId="6D489121" w:rsidR="00CF4EEE" w:rsidRDefault="00CF4EEE">
      <w:pPr>
        <w:pStyle w:val="TOC2"/>
        <w:tabs>
          <w:tab w:val="right" w:leader="dot" w:pos="9350"/>
        </w:tabs>
        <w:rPr>
          <w:noProof/>
          <w:kern w:val="2"/>
          <w:lang w:eastAsia="en-US"/>
          <w14:ligatures w14:val="standardContextual"/>
        </w:rPr>
      </w:pPr>
      <w:hyperlink w:anchor="_Toc212542312" w:history="1">
        <w:r w:rsidRPr="00C25BB6">
          <w:rPr>
            <w:rStyle w:val="Hyperlink"/>
            <w:noProof/>
          </w:rPr>
          <w:t>Appendix H. Anemia Optimization Workflow Example</w:t>
        </w:r>
        <w:r>
          <w:rPr>
            <w:noProof/>
            <w:webHidden/>
          </w:rPr>
          <w:tab/>
        </w:r>
        <w:r>
          <w:rPr>
            <w:noProof/>
            <w:webHidden/>
          </w:rPr>
          <w:fldChar w:fldCharType="begin"/>
        </w:r>
        <w:r>
          <w:rPr>
            <w:noProof/>
            <w:webHidden/>
          </w:rPr>
          <w:instrText xml:space="preserve"> PAGEREF _Toc212542312 \h </w:instrText>
        </w:r>
        <w:r>
          <w:rPr>
            <w:noProof/>
            <w:webHidden/>
          </w:rPr>
        </w:r>
        <w:r>
          <w:rPr>
            <w:noProof/>
            <w:webHidden/>
          </w:rPr>
          <w:fldChar w:fldCharType="separate"/>
        </w:r>
        <w:r>
          <w:rPr>
            <w:noProof/>
            <w:webHidden/>
          </w:rPr>
          <w:t>35</w:t>
        </w:r>
        <w:r>
          <w:rPr>
            <w:noProof/>
            <w:webHidden/>
          </w:rPr>
          <w:fldChar w:fldCharType="end"/>
        </w:r>
      </w:hyperlink>
    </w:p>
    <w:p w14:paraId="4B7B9D42" w14:textId="2ACE09A6" w:rsidR="00CF4EEE" w:rsidRDefault="00CF4EEE">
      <w:pPr>
        <w:pStyle w:val="TOC2"/>
        <w:tabs>
          <w:tab w:val="right" w:leader="dot" w:pos="9350"/>
        </w:tabs>
        <w:rPr>
          <w:noProof/>
          <w:kern w:val="2"/>
          <w:lang w:eastAsia="en-US"/>
          <w14:ligatures w14:val="standardContextual"/>
        </w:rPr>
      </w:pPr>
      <w:hyperlink w:anchor="_Toc212542313" w:history="1">
        <w:r w:rsidRPr="00C25BB6">
          <w:rPr>
            <w:rStyle w:val="Hyperlink"/>
            <w:noProof/>
          </w:rPr>
          <w:t>Appendix I. Evaluation of Anemia in Adults</w:t>
        </w:r>
        <w:r w:rsidRPr="00C25BB6">
          <w:rPr>
            <w:rStyle w:val="Hyperlink"/>
            <w:rFonts w:ascii="ZWAdobeF" w:hAnsi="ZWAdobeF" w:cs="ZWAdobeF"/>
            <w:noProof/>
          </w:rPr>
          <w:t>45F</w:t>
        </w:r>
        <w:r>
          <w:rPr>
            <w:noProof/>
            <w:webHidden/>
          </w:rPr>
          <w:tab/>
        </w:r>
        <w:r>
          <w:rPr>
            <w:noProof/>
            <w:webHidden/>
          </w:rPr>
          <w:fldChar w:fldCharType="begin"/>
        </w:r>
        <w:r>
          <w:rPr>
            <w:noProof/>
            <w:webHidden/>
          </w:rPr>
          <w:instrText xml:space="preserve"> PAGEREF _Toc212542313 \h </w:instrText>
        </w:r>
        <w:r>
          <w:rPr>
            <w:noProof/>
            <w:webHidden/>
          </w:rPr>
        </w:r>
        <w:r>
          <w:rPr>
            <w:noProof/>
            <w:webHidden/>
          </w:rPr>
          <w:fldChar w:fldCharType="separate"/>
        </w:r>
        <w:r>
          <w:rPr>
            <w:noProof/>
            <w:webHidden/>
          </w:rPr>
          <w:t>36</w:t>
        </w:r>
        <w:r>
          <w:rPr>
            <w:noProof/>
            <w:webHidden/>
          </w:rPr>
          <w:fldChar w:fldCharType="end"/>
        </w:r>
      </w:hyperlink>
    </w:p>
    <w:p w14:paraId="604CBCEC" w14:textId="001DA802" w:rsidR="00CF4EEE" w:rsidRDefault="00CF4EEE">
      <w:pPr>
        <w:pStyle w:val="TOC1"/>
        <w:tabs>
          <w:tab w:val="right" w:leader="dot" w:pos="9350"/>
        </w:tabs>
        <w:rPr>
          <w:noProof/>
          <w:kern w:val="2"/>
          <w:lang w:eastAsia="en-US"/>
          <w14:ligatures w14:val="standardContextual"/>
        </w:rPr>
      </w:pPr>
      <w:hyperlink w:anchor="_Toc212542314" w:history="1">
        <w:r w:rsidRPr="00C25BB6">
          <w:rPr>
            <w:rStyle w:val="Hyperlink"/>
            <w:noProof/>
          </w:rPr>
          <w:t>References</w:t>
        </w:r>
        <w:r>
          <w:rPr>
            <w:noProof/>
            <w:webHidden/>
          </w:rPr>
          <w:tab/>
        </w:r>
        <w:r>
          <w:rPr>
            <w:noProof/>
            <w:webHidden/>
          </w:rPr>
          <w:fldChar w:fldCharType="begin"/>
        </w:r>
        <w:r>
          <w:rPr>
            <w:noProof/>
            <w:webHidden/>
          </w:rPr>
          <w:instrText xml:space="preserve"> PAGEREF _Toc212542314 \h </w:instrText>
        </w:r>
        <w:r>
          <w:rPr>
            <w:noProof/>
            <w:webHidden/>
          </w:rPr>
        </w:r>
        <w:r>
          <w:rPr>
            <w:noProof/>
            <w:webHidden/>
          </w:rPr>
          <w:fldChar w:fldCharType="separate"/>
        </w:r>
        <w:r>
          <w:rPr>
            <w:noProof/>
            <w:webHidden/>
          </w:rPr>
          <w:t>37</w:t>
        </w:r>
        <w:r>
          <w:rPr>
            <w:noProof/>
            <w:webHidden/>
          </w:rPr>
          <w:fldChar w:fldCharType="end"/>
        </w:r>
      </w:hyperlink>
    </w:p>
    <w:p w14:paraId="68F9FDEA" w14:textId="7AF8A2AA" w:rsidR="00C00C0C" w:rsidRDefault="00D31E9D">
      <w:pPr>
        <w:sectPr w:rsidR="00C00C0C">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r w:rsidRPr="005B58C9">
        <w:rPr>
          <w:sz w:val="22"/>
          <w:szCs w:val="22"/>
        </w:rPr>
        <w:fldChar w:fldCharType="end"/>
      </w:r>
    </w:p>
    <w:p w14:paraId="0347164E" w14:textId="6FC7E11F" w:rsidR="00C00C0C" w:rsidRPr="0023314B" w:rsidRDefault="00C00C0C" w:rsidP="00C00C0C">
      <w:pPr>
        <w:pStyle w:val="Heading1"/>
        <w:rPr>
          <w:sz w:val="40"/>
          <w:szCs w:val="40"/>
        </w:rPr>
      </w:pPr>
      <w:bookmarkStart w:id="0" w:name="_Toc206580463"/>
      <w:bookmarkStart w:id="1" w:name="_Toc212542276"/>
      <w:r w:rsidRPr="0023314B">
        <w:rPr>
          <w:sz w:val="40"/>
          <w:szCs w:val="40"/>
        </w:rPr>
        <w:lastRenderedPageBreak/>
        <w:t>Executive Summary</w:t>
      </w:r>
      <w:bookmarkEnd w:id="0"/>
      <w:bookmarkEnd w:id="1"/>
    </w:p>
    <w:p w14:paraId="5DCA28B6" w14:textId="67EBF83A" w:rsidR="006375F5" w:rsidRDefault="006375F5" w:rsidP="008E4978">
      <w:r>
        <w:t>Anemia and poor glycemic control are key modifiable risk factors that worsen perioperative outcomes in those undergoing major surgery. Both preoperative anemia and perioperative hyperglycemia are associated with longer hospital stays</w:t>
      </w:r>
      <w:r w:rsidR="003C16E9">
        <w:rPr>
          <w:rStyle w:val="EndnoteReference"/>
        </w:rPr>
        <w:endnoteReference w:id="1"/>
      </w:r>
      <w:r>
        <w:t>, increased costs, higher morbidity and mortality</w:t>
      </w:r>
      <w:r w:rsidR="003C16E9" w:rsidRPr="003C16E9">
        <w:rPr>
          <w:rStyle w:val="EndnoteReference"/>
        </w:rPr>
        <w:endnoteReference w:id="2"/>
      </w:r>
      <w:r w:rsidR="003C16E9" w:rsidRPr="003C16E9">
        <w:rPr>
          <w:rFonts w:ascii="Cambria" w:hAnsi="Cambria" w:cs="ZWAdobeF"/>
          <w:sz w:val="22"/>
          <w:szCs w:val="22"/>
          <w:vertAlign w:val="superscript"/>
        </w:rPr>
        <w:t>,</w:t>
      </w:r>
      <w:r w:rsidR="003C16E9" w:rsidRPr="003C16E9">
        <w:rPr>
          <w:rStyle w:val="EndnoteReference"/>
        </w:rPr>
        <w:endnoteReference w:id="3"/>
      </w:r>
      <w:r w:rsidRPr="003C16E9">
        <w:t>,</w:t>
      </w:r>
      <w:r>
        <w:t xml:space="preserve"> and worse recovery. Even mild anemia can affect 30-day outcomes, and perioperative glucose levels predict short-term mortality</w:t>
      </w:r>
      <w:r w:rsidR="003C16E9">
        <w:rPr>
          <w:rFonts w:ascii="ZWAdobeF" w:hAnsi="ZWAdobeF" w:cs="ZWAdobeF"/>
          <w:sz w:val="2"/>
          <w:szCs w:val="2"/>
        </w:rPr>
        <w:t>5F</w:t>
      </w:r>
      <w:r w:rsidR="003C16E9">
        <w:rPr>
          <w:rStyle w:val="EndnoteReference"/>
        </w:rPr>
        <w:endnoteReference w:id="4"/>
      </w:r>
      <w:r w:rsidR="003C16E9">
        <w:t>, while evidence</w:t>
      </w:r>
      <w:r>
        <w:t xml:space="preserve"> shows </w:t>
      </w:r>
      <w:r w:rsidR="003C16E9">
        <w:t>hyperglycemia</w:t>
      </w:r>
      <w:r>
        <w:t xml:space="preserve"> impacts non-diabetic </w:t>
      </w:r>
      <w:r w:rsidR="003C16E9">
        <w:t>patients</w:t>
      </w:r>
      <w:r>
        <w:t xml:space="preserve"> more negatively than those with </w:t>
      </w:r>
      <w:r w:rsidR="003C16E9">
        <w:t>diabetes. In Washington state, there is</w:t>
      </w:r>
      <w:r w:rsidR="003C16E9" w:rsidRPr="006375F5">
        <w:rPr>
          <w:rFonts w:ascii="Aptos" w:hAnsi="Aptos"/>
          <w:color w:val="000000"/>
        </w:rPr>
        <w:t xml:space="preserve"> significant variation in practices regarding</w:t>
      </w:r>
      <w:r w:rsidR="003C16E9">
        <w:rPr>
          <w:rFonts w:ascii="Aptos" w:hAnsi="Aptos"/>
          <w:color w:val="000000"/>
        </w:rPr>
        <w:t xml:space="preserve"> anemia management and glycemic optimization in patients with and without diabetes. </w:t>
      </w:r>
    </w:p>
    <w:p w14:paraId="729C93ED" w14:textId="12EAC92C" w:rsidR="00ED7449" w:rsidRPr="008E4978" w:rsidRDefault="008E4978" w:rsidP="008E4978">
      <w:r>
        <w:t>To address these challenges, the workgroup recommends a comprehensive framework focused on improving perioperative glycemic control</w:t>
      </w:r>
      <w:r w:rsidR="003C16E9">
        <w:t xml:space="preserve"> in all patients</w:t>
      </w:r>
      <w:r>
        <w:t xml:space="preserve">, optimizing preoperative anemia, fostering multidisciplinary collaboration, and </w:t>
      </w:r>
      <w:r w:rsidR="003C16E9">
        <w:t>advancing</w:t>
      </w:r>
      <w:r>
        <w:t xml:space="preserve"> payment reform. The report calls for system-wide adoption of evidence-based protocols</w:t>
      </w:r>
      <w:r w:rsidR="003C16E9">
        <w:t xml:space="preserve"> to improve surgical outcomes </w:t>
      </w:r>
      <w:r>
        <w:t>for Washington residents.</w:t>
      </w:r>
      <w:r w:rsidR="15E860A4">
        <w:t xml:space="preserve"> </w:t>
      </w:r>
      <w:r w:rsidR="003C16E9">
        <w:t>These guidelines</w:t>
      </w:r>
      <w:r w:rsidR="15E860A4">
        <w:t xml:space="preserve"> </w:t>
      </w:r>
      <w:r w:rsidR="003C16E9">
        <w:t xml:space="preserve">are </w:t>
      </w:r>
      <w:r w:rsidR="15E860A4">
        <w:t>appropriate for surgical management of nonpregnant adults</w:t>
      </w:r>
      <w:r w:rsidR="0073271D">
        <w:t xml:space="preserve"> </w:t>
      </w:r>
      <w:r w:rsidR="003C16E9">
        <w:t>aged 18 and above</w:t>
      </w:r>
      <w:r w:rsidR="0023314B">
        <w:t xml:space="preserve">. </w:t>
      </w:r>
    </w:p>
    <w:tbl>
      <w:tblPr>
        <w:tblStyle w:val="GridTable4-Accent4"/>
        <w:tblW w:w="0" w:type="auto"/>
        <w:tblLook w:val="04A0" w:firstRow="1" w:lastRow="0" w:firstColumn="1" w:lastColumn="0" w:noHBand="0" w:noVBand="1"/>
      </w:tblPr>
      <w:tblGrid>
        <w:gridCol w:w="2053"/>
        <w:gridCol w:w="7297"/>
      </w:tblGrid>
      <w:tr w:rsidR="00ED7449" w14:paraId="0884CB35" w14:textId="77777777" w:rsidTr="004914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342021F2" w14:textId="6E02CE2C" w:rsidR="00ED7449" w:rsidRPr="00ED7449" w:rsidRDefault="00ED7449" w:rsidP="00ED7449">
            <w:pPr>
              <w:rPr>
                <w:b w:val="0"/>
                <w:bCs w:val="0"/>
              </w:rPr>
            </w:pPr>
            <w:r w:rsidRPr="00ED7449">
              <w:t>Focus Area</w:t>
            </w:r>
          </w:p>
        </w:tc>
        <w:tc>
          <w:tcPr>
            <w:tcW w:w="7465" w:type="dxa"/>
          </w:tcPr>
          <w:p w14:paraId="4FC30ADE" w14:textId="5EFB14F8" w:rsidR="00ED7449" w:rsidRPr="00ED7449" w:rsidRDefault="00ED7449" w:rsidP="00ED7449">
            <w:pPr>
              <w:cnfStyle w:val="100000000000" w:firstRow="1" w:lastRow="0" w:firstColumn="0" w:lastColumn="0" w:oddVBand="0" w:evenVBand="0" w:oddHBand="0" w:evenHBand="0" w:firstRowFirstColumn="0" w:firstRowLastColumn="0" w:lastRowFirstColumn="0" w:lastRowLastColumn="0"/>
              <w:rPr>
                <w:b w:val="0"/>
                <w:bCs w:val="0"/>
              </w:rPr>
            </w:pPr>
            <w:r w:rsidRPr="00ED7449">
              <w:t>Components</w:t>
            </w:r>
          </w:p>
        </w:tc>
      </w:tr>
      <w:tr w:rsidR="00B76967" w14:paraId="11CE730A" w14:textId="77777777" w:rsidTr="00491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07E858FE" w14:textId="64F2CD35" w:rsidR="00B76967" w:rsidRDefault="5C0C04E1" w:rsidP="00B76967">
            <w:r>
              <w:t>Preoperative Anemia Optimization</w:t>
            </w:r>
          </w:p>
          <w:p w14:paraId="69745A96" w14:textId="2CCB29BC" w:rsidR="00B76967" w:rsidRDefault="00B76967" w:rsidP="00B76967"/>
        </w:tc>
        <w:tc>
          <w:tcPr>
            <w:tcW w:w="7465" w:type="dxa"/>
          </w:tcPr>
          <w:p w14:paraId="5376D561" w14:textId="4752DA9A" w:rsidR="00B76967" w:rsidRDefault="00B76967" w:rsidP="00B76967">
            <w:pPr>
              <w:pStyle w:val="ListParagraph"/>
              <w:numPr>
                <w:ilvl w:val="0"/>
                <w:numId w:val="22"/>
              </w:numPr>
              <w:cnfStyle w:val="000000100000" w:firstRow="0" w:lastRow="0" w:firstColumn="0" w:lastColumn="0" w:oddVBand="0" w:evenVBand="0" w:oddHBand="1" w:evenHBand="0" w:firstRowFirstColumn="0" w:firstRowLastColumn="0" w:lastRowFirstColumn="0" w:lastRowLastColumn="0"/>
            </w:pPr>
            <w:r>
              <w:t xml:space="preserve">Early identification and diagnosis, targeted treatment (iron, </w:t>
            </w:r>
            <w:commentRangeStart w:id="2"/>
            <w:r w:rsidR="2847338E">
              <w:t xml:space="preserve">erythropoietin stimulating agents </w:t>
            </w:r>
            <w:commentRangeEnd w:id="2"/>
            <w:r>
              <w:rPr>
                <w:rStyle w:val="CommentReference"/>
              </w:rPr>
              <w:commentReference w:id="2"/>
            </w:r>
            <w:r>
              <w:t xml:space="preserve">, etc.)  </w:t>
            </w:r>
          </w:p>
          <w:p w14:paraId="10E4BFE2" w14:textId="20352812" w:rsidR="00B76967" w:rsidRDefault="112AC1C6" w:rsidP="00B76967">
            <w:pPr>
              <w:pStyle w:val="ListParagraph"/>
              <w:numPr>
                <w:ilvl w:val="0"/>
                <w:numId w:val="22"/>
              </w:numPr>
              <w:cnfStyle w:val="000000100000" w:firstRow="0" w:lastRow="0" w:firstColumn="0" w:lastColumn="0" w:oddVBand="0" w:evenVBand="0" w:oddHBand="1" w:evenHBand="0" w:firstRowFirstColumn="0" w:firstRowLastColumn="0" w:lastRowFirstColumn="0" w:lastRowLastColumn="0"/>
            </w:pPr>
            <w:r>
              <w:t>Nutrition</w:t>
            </w:r>
            <w:r w:rsidR="00B76967">
              <w:t xml:space="preserve"> optimization</w:t>
            </w:r>
          </w:p>
          <w:p w14:paraId="729F1CD4" w14:textId="5F0556A3" w:rsidR="001742BC" w:rsidRDefault="112AC1C6" w:rsidP="00B76967">
            <w:pPr>
              <w:pStyle w:val="ListParagraph"/>
              <w:numPr>
                <w:ilvl w:val="0"/>
                <w:numId w:val="22"/>
              </w:numPr>
              <w:cnfStyle w:val="000000100000" w:firstRow="0" w:lastRow="0" w:firstColumn="0" w:lastColumn="0" w:oddVBand="0" w:evenVBand="0" w:oddHBand="1" w:evenHBand="0" w:firstRowFirstColumn="0" w:firstRowLastColumn="0" w:lastRowFirstColumn="0" w:lastRowLastColumn="0"/>
            </w:pPr>
            <w:r>
              <w:t>Coordination</w:t>
            </w:r>
            <w:r w:rsidR="00B76967">
              <w:t xml:space="preserve"> of multidisciplinary care, and monitoring before surgery</w:t>
            </w:r>
          </w:p>
          <w:p w14:paraId="2FC41E62" w14:textId="3A7BC27A" w:rsidR="00B76967" w:rsidRDefault="112AC1C6" w:rsidP="00B76967">
            <w:pPr>
              <w:pStyle w:val="ListParagraph"/>
              <w:numPr>
                <w:ilvl w:val="0"/>
                <w:numId w:val="22"/>
              </w:numPr>
              <w:cnfStyle w:val="000000100000" w:firstRow="0" w:lastRow="0" w:firstColumn="0" w:lastColumn="0" w:oddVBand="0" w:evenVBand="0" w:oddHBand="1" w:evenHBand="0" w:firstRowFirstColumn="0" w:firstRowLastColumn="0" w:lastRowFirstColumn="0" w:lastRowLastColumn="0"/>
            </w:pPr>
            <w:r>
              <w:t>Population</w:t>
            </w:r>
            <w:r w:rsidR="00B76967">
              <w:t xml:space="preserve"> level management of blood products</w:t>
            </w:r>
          </w:p>
        </w:tc>
      </w:tr>
      <w:tr w:rsidR="00B76967" w14:paraId="3AB7BA8A" w14:textId="77777777" w:rsidTr="0049148F">
        <w:tc>
          <w:tcPr>
            <w:cnfStyle w:val="001000000000" w:firstRow="0" w:lastRow="0" w:firstColumn="1" w:lastColumn="0" w:oddVBand="0" w:evenVBand="0" w:oddHBand="0" w:evenHBand="0" w:firstRowFirstColumn="0" w:firstRowLastColumn="0" w:lastRowFirstColumn="0" w:lastRowLastColumn="0"/>
            <w:tcW w:w="1885" w:type="dxa"/>
          </w:tcPr>
          <w:p w14:paraId="57EF5399" w14:textId="38227CDC" w:rsidR="00B76967" w:rsidRDefault="5C0C04E1" w:rsidP="00B76967">
            <w:r>
              <w:t>Perioperative Glycemic Control</w:t>
            </w:r>
          </w:p>
          <w:p w14:paraId="38200D84" w14:textId="5895E2CD" w:rsidR="00B76967" w:rsidRDefault="00B76967" w:rsidP="00B76967"/>
        </w:tc>
        <w:tc>
          <w:tcPr>
            <w:tcW w:w="7465" w:type="dxa"/>
          </w:tcPr>
          <w:p w14:paraId="379F24A3" w14:textId="77777777" w:rsidR="00B76967" w:rsidRDefault="00B76967" w:rsidP="00B76967">
            <w:pPr>
              <w:pStyle w:val="ListParagraph"/>
              <w:numPr>
                <w:ilvl w:val="0"/>
                <w:numId w:val="23"/>
              </w:numPr>
              <w:cnfStyle w:val="000000000000" w:firstRow="0" w:lastRow="0" w:firstColumn="0" w:lastColumn="0" w:oddVBand="0" w:evenVBand="0" w:oddHBand="0" w:evenHBand="0" w:firstRowFirstColumn="0" w:firstRowLastColumn="0" w:lastRowFirstColumn="0" w:lastRowLastColumn="0"/>
            </w:pPr>
            <w:r>
              <w:t>Early screening for glucose dysregulation</w:t>
            </w:r>
          </w:p>
          <w:p w14:paraId="6F4D525C" w14:textId="31A165D4" w:rsidR="00B76967" w:rsidRDefault="112AC1C6" w:rsidP="00B76967">
            <w:pPr>
              <w:pStyle w:val="ListParagraph"/>
              <w:numPr>
                <w:ilvl w:val="0"/>
                <w:numId w:val="23"/>
              </w:numPr>
              <w:cnfStyle w:val="000000000000" w:firstRow="0" w:lastRow="0" w:firstColumn="0" w:lastColumn="0" w:oddVBand="0" w:evenVBand="0" w:oddHBand="0" w:evenHBand="0" w:firstRowFirstColumn="0" w:firstRowLastColumn="0" w:lastRowFirstColumn="0" w:lastRowLastColumn="0"/>
            </w:pPr>
            <w:r>
              <w:t>Nutrition</w:t>
            </w:r>
            <w:r w:rsidR="00B76967">
              <w:t xml:space="preserve"> optimization </w:t>
            </w:r>
          </w:p>
          <w:p w14:paraId="045D88C3" w14:textId="056169EC" w:rsidR="00B76967" w:rsidRDefault="112AC1C6" w:rsidP="00B76967">
            <w:pPr>
              <w:pStyle w:val="ListParagraph"/>
              <w:numPr>
                <w:ilvl w:val="0"/>
                <w:numId w:val="23"/>
              </w:numPr>
              <w:cnfStyle w:val="000000000000" w:firstRow="0" w:lastRow="0" w:firstColumn="0" w:lastColumn="0" w:oddVBand="0" w:evenVBand="0" w:oddHBand="0" w:evenHBand="0" w:firstRowFirstColumn="0" w:firstRowLastColumn="0" w:lastRowFirstColumn="0" w:lastRowLastColumn="0"/>
            </w:pPr>
            <w:r>
              <w:t>Preoperative</w:t>
            </w:r>
            <w:r w:rsidR="00B76967">
              <w:t xml:space="preserve"> glucose monitoring </w:t>
            </w:r>
          </w:p>
          <w:p w14:paraId="3B5FA296" w14:textId="1E8E0AF1" w:rsidR="00B76967" w:rsidRDefault="112AC1C6" w:rsidP="00B76967">
            <w:pPr>
              <w:pStyle w:val="ListParagraph"/>
              <w:numPr>
                <w:ilvl w:val="0"/>
                <w:numId w:val="23"/>
              </w:numPr>
              <w:cnfStyle w:val="000000000000" w:firstRow="0" w:lastRow="0" w:firstColumn="0" w:lastColumn="0" w:oddVBand="0" w:evenVBand="0" w:oddHBand="0" w:evenHBand="0" w:firstRowFirstColumn="0" w:firstRowLastColumn="0" w:lastRowFirstColumn="0" w:lastRowLastColumn="0"/>
            </w:pPr>
            <w:r>
              <w:t>Stress</w:t>
            </w:r>
            <w:r w:rsidR="00B76967">
              <w:t xml:space="preserve"> and inflammation management </w:t>
            </w:r>
          </w:p>
          <w:p w14:paraId="40B35459" w14:textId="49234448" w:rsidR="00B76967" w:rsidRDefault="112AC1C6" w:rsidP="00B76967">
            <w:pPr>
              <w:pStyle w:val="ListParagraph"/>
              <w:numPr>
                <w:ilvl w:val="0"/>
                <w:numId w:val="23"/>
              </w:numPr>
              <w:cnfStyle w:val="000000000000" w:firstRow="0" w:lastRow="0" w:firstColumn="0" w:lastColumn="0" w:oddVBand="0" w:evenVBand="0" w:oddHBand="0" w:evenHBand="0" w:firstRowFirstColumn="0" w:firstRowLastColumn="0" w:lastRowFirstColumn="0" w:lastRowLastColumn="0"/>
            </w:pPr>
            <w:r>
              <w:t>Judicious</w:t>
            </w:r>
            <w:r w:rsidR="00B76967">
              <w:t xml:space="preserve"> use of pharmacologic interventions if needed</w:t>
            </w:r>
          </w:p>
        </w:tc>
      </w:tr>
      <w:tr w:rsidR="00B76967" w14:paraId="2920C1B2" w14:textId="77777777" w:rsidTr="00491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357C22AA" w14:textId="559264D6" w:rsidR="00B76967" w:rsidRDefault="00B76967" w:rsidP="00B76967">
            <w:r>
              <w:t>Multidisciplinary Collaboration</w:t>
            </w:r>
          </w:p>
        </w:tc>
        <w:tc>
          <w:tcPr>
            <w:tcW w:w="7465" w:type="dxa"/>
          </w:tcPr>
          <w:p w14:paraId="764AA820" w14:textId="30AF22EA" w:rsidR="00665055" w:rsidRDefault="00F55F97" w:rsidP="00665055">
            <w:pPr>
              <w:pStyle w:val="ListParagraph"/>
              <w:numPr>
                <w:ilvl w:val="0"/>
                <w:numId w:val="24"/>
              </w:numPr>
              <w:cnfStyle w:val="000000100000" w:firstRow="0" w:lastRow="0" w:firstColumn="0" w:lastColumn="0" w:oddVBand="0" w:evenVBand="0" w:oddHBand="1" w:evenHBand="0" w:firstRowFirstColumn="0" w:firstRowLastColumn="0" w:lastRowFirstColumn="0" w:lastRowLastColumn="0"/>
            </w:pPr>
            <w:r>
              <w:t xml:space="preserve">Preoperative provider and surgical team </w:t>
            </w:r>
            <w:r w:rsidR="00665055">
              <w:t>collaboration</w:t>
            </w:r>
          </w:p>
        </w:tc>
      </w:tr>
      <w:tr w:rsidR="00B76967" w14:paraId="1C03FE52" w14:textId="77777777" w:rsidTr="0049148F">
        <w:tc>
          <w:tcPr>
            <w:cnfStyle w:val="001000000000" w:firstRow="0" w:lastRow="0" w:firstColumn="1" w:lastColumn="0" w:oddVBand="0" w:evenVBand="0" w:oddHBand="0" w:evenHBand="0" w:firstRowFirstColumn="0" w:firstRowLastColumn="0" w:lastRowFirstColumn="0" w:lastRowLastColumn="0"/>
            <w:tcW w:w="1885" w:type="dxa"/>
          </w:tcPr>
          <w:p w14:paraId="6B41ABF4" w14:textId="130AB675" w:rsidR="00B76967" w:rsidRDefault="00B76967" w:rsidP="00B76967">
            <w:r>
              <w:t>Payment Reform</w:t>
            </w:r>
          </w:p>
        </w:tc>
        <w:tc>
          <w:tcPr>
            <w:tcW w:w="7465" w:type="dxa"/>
          </w:tcPr>
          <w:p w14:paraId="116AFDA7" w14:textId="77777777" w:rsidR="007F19FA" w:rsidRDefault="007F19FA" w:rsidP="007F19FA">
            <w:pPr>
              <w:pStyle w:val="ListParagraph"/>
              <w:numPr>
                <w:ilvl w:val="0"/>
                <w:numId w:val="25"/>
              </w:numPr>
              <w:cnfStyle w:val="000000000000" w:firstRow="0" w:lastRow="0" w:firstColumn="0" w:lastColumn="0" w:oddVBand="0" w:evenVBand="0" w:oddHBand="0" w:evenHBand="0" w:firstRowFirstColumn="0" w:firstRowLastColumn="0" w:lastRowFirstColumn="0" w:lastRowLastColumn="0"/>
            </w:pPr>
            <w:r>
              <w:t>Minimizing financial barriers to glycemic control and anemia optimization</w:t>
            </w:r>
          </w:p>
          <w:p w14:paraId="516EA02F" w14:textId="2A11D0D4" w:rsidR="007F19FA" w:rsidRDefault="00A07044" w:rsidP="007F19FA">
            <w:pPr>
              <w:pStyle w:val="ListParagraph"/>
              <w:numPr>
                <w:ilvl w:val="0"/>
                <w:numId w:val="25"/>
              </w:numPr>
              <w:cnfStyle w:val="000000000000" w:firstRow="0" w:lastRow="0" w:firstColumn="0" w:lastColumn="0" w:oddVBand="0" w:evenVBand="0" w:oddHBand="0" w:evenHBand="0" w:firstRowFirstColumn="0" w:firstRowLastColumn="0" w:lastRowFirstColumn="0" w:lastRowLastColumn="0"/>
            </w:pPr>
            <w:r>
              <w:t>Incorporation of anemia and glycemic control into surgical optimization incentives</w:t>
            </w:r>
          </w:p>
        </w:tc>
      </w:tr>
    </w:tbl>
    <w:p w14:paraId="621462D6" w14:textId="7057C7E5" w:rsidR="00C00C0C" w:rsidRDefault="00C00C0C" w:rsidP="00ED7449">
      <w:pPr>
        <w:rPr>
          <w:rFonts w:asciiTheme="majorHAnsi" w:eastAsiaTheme="majorEastAsia" w:hAnsiTheme="majorHAnsi" w:cstheme="majorBidi"/>
          <w:color w:val="0F4761" w:themeColor="accent1" w:themeShade="BF"/>
          <w:sz w:val="32"/>
          <w:szCs w:val="32"/>
        </w:rPr>
      </w:pPr>
      <w:r>
        <w:br w:type="page"/>
      </w:r>
    </w:p>
    <w:p w14:paraId="3DF6C38B" w14:textId="77777777" w:rsidR="0049148F" w:rsidRPr="0049148F" w:rsidRDefault="0049148F" w:rsidP="0049148F">
      <w:pPr>
        <w:pStyle w:val="Heading2"/>
        <w:rPr>
          <w:sz w:val="32"/>
          <w:szCs w:val="32"/>
        </w:rPr>
      </w:pPr>
      <w:bookmarkStart w:id="3" w:name="_Toc206580464"/>
      <w:bookmarkStart w:id="4" w:name="_Toc212542277"/>
      <w:commentRangeStart w:id="5"/>
      <w:r w:rsidRPr="0049148F">
        <w:rPr>
          <w:sz w:val="32"/>
          <w:szCs w:val="32"/>
        </w:rPr>
        <w:lastRenderedPageBreak/>
        <w:t>Procedures</w:t>
      </w:r>
      <w:commentRangeEnd w:id="5"/>
      <w:r>
        <w:rPr>
          <w:rStyle w:val="CommentReference"/>
          <w:rFonts w:asciiTheme="minorHAnsi" w:eastAsiaTheme="minorHAnsi" w:hAnsiTheme="minorHAnsi" w:cstheme="minorBidi"/>
          <w:color w:val="auto"/>
          <w:kern w:val="2"/>
          <w:lang w:eastAsia="en-US"/>
          <w14:ligatures w14:val="standardContextual"/>
        </w:rPr>
        <w:commentReference w:id="5"/>
      </w:r>
      <w:bookmarkEnd w:id="4"/>
    </w:p>
    <w:p w14:paraId="4938F665" w14:textId="181766BD" w:rsidR="0049148F" w:rsidRDefault="0049148F" w:rsidP="0049148F">
      <w:r>
        <w:t xml:space="preserve">Both glycemic control and anemia optimization are critical to many major elective surgeries. National and international guidelines recommend screening and optimization before most major elective procedures – however, the workgroup recommends payors and health systems begin implementing changes for procedures and patient populations that are sensitive to glycemic control and anemia challenges and for which there is enough time to optimize patients before procedures. Each facility or system should evaluate their clinical data to identify priority patient populations and surgical populations, but the workgroup example the following procedure types as potential starting points: </w:t>
      </w:r>
    </w:p>
    <w:tbl>
      <w:tblPr>
        <w:tblStyle w:val="GridTable4-Accent4"/>
        <w:tblW w:w="9350" w:type="dxa"/>
        <w:tblLook w:val="04A0" w:firstRow="1" w:lastRow="0" w:firstColumn="1" w:lastColumn="0" w:noHBand="0" w:noVBand="1"/>
      </w:tblPr>
      <w:tblGrid>
        <w:gridCol w:w="9350"/>
      </w:tblGrid>
      <w:tr w:rsidR="0049148F" w14:paraId="319A9E9D" w14:textId="77777777" w:rsidTr="00734E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9515E47" w14:textId="77777777" w:rsidR="0049148F" w:rsidRPr="0049148F" w:rsidRDefault="0049148F" w:rsidP="00734EAC">
            <w:pPr>
              <w:jc w:val="center"/>
            </w:pPr>
            <w:r w:rsidRPr="0049148F">
              <w:t>General Principles</w:t>
            </w:r>
          </w:p>
        </w:tc>
      </w:tr>
      <w:tr w:rsidR="0049148F" w14:paraId="567DEA65" w14:textId="77777777" w:rsidTr="00734E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13C3B831" w14:textId="77777777" w:rsidR="0049148F" w:rsidRPr="0049148F" w:rsidRDefault="0049148F" w:rsidP="00734EAC">
            <w:r w:rsidRPr="0049148F">
              <w:t>Any Operation with entering of body cavity</w:t>
            </w:r>
          </w:p>
        </w:tc>
      </w:tr>
      <w:tr w:rsidR="0049148F" w14:paraId="1091B63C" w14:textId="77777777" w:rsidTr="00734EAC">
        <w:tc>
          <w:tcPr>
            <w:cnfStyle w:val="001000000000" w:firstRow="0" w:lastRow="0" w:firstColumn="1" w:lastColumn="0" w:oddVBand="0" w:evenVBand="0" w:oddHBand="0" w:evenHBand="0" w:firstRowFirstColumn="0" w:firstRowLastColumn="0" w:lastRowFirstColumn="0" w:lastRowLastColumn="0"/>
            <w:tcW w:w="9350" w:type="dxa"/>
          </w:tcPr>
          <w:p w14:paraId="3796002E" w14:textId="77777777" w:rsidR="0049148F" w:rsidRPr="0049148F" w:rsidRDefault="0049148F" w:rsidP="00734EAC">
            <w:r w:rsidRPr="0049148F">
              <w:t>Any Operation with expected duration &gt;/= 90 minutes</w:t>
            </w:r>
          </w:p>
        </w:tc>
      </w:tr>
      <w:tr w:rsidR="0049148F" w14:paraId="0D9C58B8" w14:textId="77777777" w:rsidTr="00734E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108E740" w14:textId="77777777" w:rsidR="0049148F" w:rsidRPr="0049148F" w:rsidRDefault="0049148F" w:rsidP="00734EAC">
            <w:r w:rsidRPr="0049148F">
              <w:t>Any operation where blood loss may exceed 500mL or 10% blood volume</w:t>
            </w:r>
            <w:r w:rsidRPr="0049148F">
              <w:rPr>
                <w:b w:val="0"/>
                <w:bCs w:val="0"/>
              </w:rPr>
              <w:t xml:space="preserve"> (</w:t>
            </w:r>
            <w:r w:rsidRPr="0049148F">
              <w:rPr>
                <w:b w:val="0"/>
                <w:bCs w:val="0"/>
                <w:i/>
                <w:iCs/>
              </w:rPr>
              <w:t>whichever less</w:t>
            </w:r>
            <w:r w:rsidRPr="0049148F">
              <w:rPr>
                <w:b w:val="0"/>
                <w:bCs w:val="0"/>
              </w:rPr>
              <w:t xml:space="preserve">) </w:t>
            </w:r>
          </w:p>
        </w:tc>
      </w:tr>
    </w:tbl>
    <w:p w14:paraId="420455D9" w14:textId="77777777" w:rsidR="0049148F" w:rsidRPr="00DB3956" w:rsidRDefault="0049148F" w:rsidP="0049148F"/>
    <w:tbl>
      <w:tblPr>
        <w:tblStyle w:val="ListTable4-Accent4"/>
        <w:tblW w:w="9350" w:type="dxa"/>
        <w:tblLook w:val="04A0" w:firstRow="1" w:lastRow="0" w:firstColumn="1" w:lastColumn="0" w:noHBand="0" w:noVBand="1"/>
      </w:tblPr>
      <w:tblGrid>
        <w:gridCol w:w="4679"/>
        <w:gridCol w:w="4671"/>
      </w:tblGrid>
      <w:tr w:rsidR="0049148F" w:rsidRPr="009B7CA0" w14:paraId="3222E2DF" w14:textId="77777777" w:rsidTr="00734E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9" w:type="dxa"/>
            <w:hideMark/>
          </w:tcPr>
          <w:p w14:paraId="3B5E38DA" w14:textId="77777777" w:rsidR="0049148F" w:rsidRPr="0049148F" w:rsidRDefault="0049148F" w:rsidP="00734EAC">
            <w:pPr>
              <w:spacing w:after="160" w:line="279" w:lineRule="auto"/>
            </w:pPr>
            <w:r w:rsidRPr="0049148F">
              <w:t xml:space="preserve">Surgery </w:t>
            </w:r>
          </w:p>
        </w:tc>
        <w:tc>
          <w:tcPr>
            <w:tcW w:w="4671" w:type="dxa"/>
          </w:tcPr>
          <w:p w14:paraId="28B7E6ED" w14:textId="77777777" w:rsidR="0049148F" w:rsidRPr="0049148F" w:rsidRDefault="0049148F" w:rsidP="00734EAC">
            <w:pPr>
              <w:cnfStyle w:val="100000000000" w:firstRow="1" w:lastRow="0" w:firstColumn="0" w:lastColumn="0" w:oddVBand="0" w:evenVBand="0" w:oddHBand="0" w:evenHBand="0" w:firstRowFirstColumn="0" w:firstRowLastColumn="0" w:lastRowFirstColumn="0" w:lastRowLastColumn="0"/>
            </w:pPr>
            <w:r w:rsidRPr="0049148F">
              <w:t>Example Range CPT Codes</w:t>
            </w:r>
          </w:p>
        </w:tc>
      </w:tr>
      <w:tr w:rsidR="0049148F" w:rsidRPr="009B7CA0" w14:paraId="40ED6EC1" w14:textId="77777777" w:rsidTr="00734E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9" w:type="dxa"/>
            <w:hideMark/>
          </w:tcPr>
          <w:p w14:paraId="7F665781" w14:textId="77777777" w:rsidR="0049148F" w:rsidRPr="0049148F" w:rsidRDefault="0049148F" w:rsidP="00734EAC">
            <w:pPr>
              <w:spacing w:after="160" w:line="279" w:lineRule="auto"/>
              <w:rPr>
                <w:b w:val="0"/>
                <w:bCs w:val="0"/>
              </w:rPr>
            </w:pPr>
            <w:r w:rsidRPr="0049148F">
              <w:rPr>
                <w:b w:val="0"/>
                <w:bCs w:val="0"/>
              </w:rPr>
              <w:t>Joint Replacement (</w:t>
            </w:r>
            <w:r w:rsidRPr="0049148F">
              <w:rPr>
                <w:b w:val="0"/>
                <w:bCs w:val="0"/>
                <w:i/>
                <w:iCs/>
              </w:rPr>
              <w:t>Total Hip/Knee Arthroplasty</w:t>
            </w:r>
            <w:r w:rsidRPr="0049148F">
              <w:rPr>
                <w:b w:val="0"/>
                <w:bCs w:val="0"/>
              </w:rPr>
              <w:t>)</w:t>
            </w:r>
            <w:r w:rsidRPr="0049148F">
              <w:rPr>
                <w:rFonts w:ascii="ZWAdobeF" w:hAnsi="ZWAdobeF" w:cs="ZWAdobeF"/>
                <w:b w:val="0"/>
                <w:bCs w:val="0"/>
              </w:rPr>
              <w:t>23F</w:t>
            </w:r>
            <w:r w:rsidRPr="0049148F">
              <w:rPr>
                <w:rStyle w:val="EndnoteReference"/>
                <w:b w:val="0"/>
                <w:bCs w:val="0"/>
              </w:rPr>
              <w:endnoteReference w:id="5"/>
            </w:r>
            <w:r w:rsidRPr="0049148F">
              <w:rPr>
                <w:rFonts w:ascii="ZWAdobeF" w:hAnsi="ZWAdobeF" w:cs="ZWAdobeF"/>
                <w:b w:val="0"/>
                <w:bCs w:val="0"/>
              </w:rPr>
              <w:t>24F</w:t>
            </w:r>
            <w:r w:rsidRPr="0049148F">
              <w:rPr>
                <w:rStyle w:val="EndnoteReference"/>
                <w:b w:val="0"/>
                <w:bCs w:val="0"/>
              </w:rPr>
              <w:endnoteReference w:id="6"/>
            </w:r>
          </w:p>
        </w:tc>
        <w:tc>
          <w:tcPr>
            <w:tcW w:w="4671" w:type="dxa"/>
          </w:tcPr>
          <w:p w14:paraId="1437EF8B" w14:textId="77777777" w:rsidR="0049148F" w:rsidRPr="00E55585" w:rsidRDefault="0049148F" w:rsidP="00734EAC">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27130-27138; 27125; 27090-27091; 27236; 27437-27448; 27486-27488</w:t>
            </w:r>
          </w:p>
        </w:tc>
      </w:tr>
      <w:tr w:rsidR="0049148F" w:rsidRPr="009B7CA0" w14:paraId="17D04012" w14:textId="77777777" w:rsidTr="00734EAC">
        <w:tc>
          <w:tcPr>
            <w:cnfStyle w:val="001000000000" w:firstRow="0" w:lastRow="0" w:firstColumn="1" w:lastColumn="0" w:oddVBand="0" w:evenVBand="0" w:oddHBand="0" w:evenHBand="0" w:firstRowFirstColumn="0" w:firstRowLastColumn="0" w:lastRowFirstColumn="0" w:lastRowLastColumn="0"/>
            <w:tcW w:w="4679" w:type="dxa"/>
            <w:hideMark/>
          </w:tcPr>
          <w:p w14:paraId="6FBEB1FC" w14:textId="77777777" w:rsidR="0049148F" w:rsidRPr="0049148F" w:rsidRDefault="0049148F" w:rsidP="00734EAC">
            <w:pPr>
              <w:spacing w:after="160" w:line="279" w:lineRule="auto"/>
              <w:rPr>
                <w:b w:val="0"/>
                <w:bCs w:val="0"/>
              </w:rPr>
            </w:pPr>
            <w:r w:rsidRPr="0049148F">
              <w:rPr>
                <w:b w:val="0"/>
                <w:bCs w:val="0"/>
              </w:rPr>
              <w:t>All Spine Surgery (</w:t>
            </w:r>
            <w:r w:rsidRPr="0049148F">
              <w:rPr>
                <w:b w:val="0"/>
                <w:bCs w:val="0"/>
                <w:i/>
                <w:iCs/>
              </w:rPr>
              <w:t>Excluding Discectomy</w:t>
            </w:r>
            <w:r w:rsidRPr="0049148F">
              <w:rPr>
                <w:b w:val="0"/>
                <w:bCs w:val="0"/>
              </w:rPr>
              <w:t>)</w:t>
            </w:r>
            <w:r w:rsidRPr="0049148F">
              <w:rPr>
                <w:rFonts w:ascii="ZWAdobeF" w:hAnsi="ZWAdobeF" w:cs="ZWAdobeF"/>
                <w:b w:val="0"/>
                <w:bCs w:val="0"/>
              </w:rPr>
              <w:t>25F</w:t>
            </w:r>
            <w:r w:rsidRPr="0049148F">
              <w:rPr>
                <w:rStyle w:val="EndnoteReference"/>
                <w:b w:val="0"/>
                <w:bCs w:val="0"/>
              </w:rPr>
              <w:endnoteReference w:id="7"/>
            </w:r>
          </w:p>
        </w:tc>
        <w:tc>
          <w:tcPr>
            <w:tcW w:w="4671" w:type="dxa"/>
          </w:tcPr>
          <w:p w14:paraId="01BF0284" w14:textId="77777777" w:rsidR="0049148F" w:rsidRPr="00E55585" w:rsidRDefault="0049148F" w:rsidP="00734EA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63045-63048;63050-63051; 63081-63088; 22600-22641;22630-22634; 22558-22585; 63052-63053; 22840-22859;22206-22226</w:t>
            </w:r>
          </w:p>
        </w:tc>
      </w:tr>
      <w:tr w:rsidR="0049148F" w:rsidRPr="009B7CA0" w14:paraId="006D2BD8" w14:textId="77777777" w:rsidTr="00734E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9" w:type="dxa"/>
            <w:hideMark/>
          </w:tcPr>
          <w:p w14:paraId="2B36BC46" w14:textId="77777777" w:rsidR="0049148F" w:rsidRPr="0049148F" w:rsidRDefault="0049148F" w:rsidP="00734EAC">
            <w:pPr>
              <w:spacing w:after="160" w:line="279" w:lineRule="auto"/>
              <w:rPr>
                <w:b w:val="0"/>
                <w:bCs w:val="0"/>
              </w:rPr>
            </w:pPr>
            <w:r w:rsidRPr="0049148F">
              <w:rPr>
                <w:b w:val="0"/>
                <w:bCs w:val="0"/>
              </w:rPr>
              <w:t>Abdominal Surgery (</w:t>
            </w:r>
            <w:r w:rsidRPr="0049148F">
              <w:rPr>
                <w:b w:val="0"/>
                <w:bCs w:val="0"/>
                <w:i/>
                <w:iCs/>
              </w:rPr>
              <w:t>Cholecystectomy, Colon</w:t>
            </w:r>
            <w:r w:rsidRPr="0049148F">
              <w:rPr>
                <w:rFonts w:ascii="ZWAdobeF" w:hAnsi="ZWAdobeF" w:cs="ZWAdobeF"/>
                <w:b w:val="0"/>
                <w:bCs w:val="0"/>
                <w:iCs/>
              </w:rPr>
              <w:t>26F</w:t>
            </w:r>
            <w:r w:rsidRPr="0049148F">
              <w:rPr>
                <w:rStyle w:val="EndnoteReference"/>
                <w:b w:val="0"/>
                <w:bCs w:val="0"/>
                <w:i/>
                <w:iCs/>
              </w:rPr>
              <w:endnoteReference w:id="8"/>
            </w:r>
            <w:r w:rsidRPr="0049148F">
              <w:rPr>
                <w:b w:val="0"/>
                <w:bCs w:val="0"/>
                <w:i/>
                <w:iCs/>
              </w:rPr>
              <w:t>, Most Gynecologic, Urology, Bariatric</w:t>
            </w:r>
            <w:r w:rsidRPr="0049148F">
              <w:rPr>
                <w:rFonts w:ascii="ZWAdobeF" w:hAnsi="ZWAdobeF" w:cs="ZWAdobeF"/>
                <w:b w:val="0"/>
                <w:bCs w:val="0"/>
                <w:iCs/>
              </w:rPr>
              <w:t>27F</w:t>
            </w:r>
            <w:r w:rsidRPr="0049148F">
              <w:rPr>
                <w:rStyle w:val="EndnoteReference"/>
                <w:b w:val="0"/>
                <w:bCs w:val="0"/>
                <w:i/>
                <w:iCs/>
              </w:rPr>
              <w:endnoteReference w:id="9"/>
            </w:r>
            <w:r w:rsidRPr="0049148F">
              <w:rPr>
                <w:rFonts w:ascii="ZWAdobeF" w:hAnsi="ZWAdobeF" w:cs="ZWAdobeF"/>
                <w:b w:val="0"/>
                <w:bCs w:val="0"/>
                <w:iCs/>
              </w:rPr>
              <w:t>28F</w:t>
            </w:r>
            <w:r w:rsidRPr="0049148F">
              <w:rPr>
                <w:rStyle w:val="EndnoteReference"/>
                <w:b w:val="0"/>
                <w:bCs w:val="0"/>
                <w:i/>
                <w:iCs/>
              </w:rPr>
              <w:endnoteReference w:id="10"/>
            </w:r>
            <w:r w:rsidRPr="0049148F">
              <w:rPr>
                <w:b w:val="0"/>
                <w:bCs w:val="0"/>
                <w:i/>
                <w:iCs/>
              </w:rPr>
              <w:t>)</w:t>
            </w:r>
          </w:p>
        </w:tc>
        <w:tc>
          <w:tcPr>
            <w:tcW w:w="4671" w:type="dxa"/>
          </w:tcPr>
          <w:p w14:paraId="6DE189B7" w14:textId="77777777" w:rsidR="0049148F" w:rsidRPr="00E55585" w:rsidRDefault="0049148F" w:rsidP="00734EAC">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47562-47564;47600-47620; 44139-44147; 44150-44156;44204-44213; 43644-43645; 43770-43775; 43845-43848; 58150-58180;58120; 58260-58294; 58550-58554; 58570-58573; 58661; 58720; 58940; 50220-50240; 50542-50548; 55840-55845; 55866; 51590-51596; </w:t>
            </w:r>
          </w:p>
        </w:tc>
      </w:tr>
    </w:tbl>
    <w:p w14:paraId="6D2BA21A" w14:textId="77777777" w:rsidR="0049148F" w:rsidRDefault="0049148F" w:rsidP="00C00C0C">
      <w:pPr>
        <w:pStyle w:val="Heading1"/>
        <w:rPr>
          <w:sz w:val="40"/>
          <w:szCs w:val="40"/>
        </w:rPr>
      </w:pPr>
    </w:p>
    <w:p w14:paraId="28246348" w14:textId="77777777" w:rsidR="0049148F" w:rsidRDefault="0049148F">
      <w:pPr>
        <w:rPr>
          <w:rFonts w:asciiTheme="majorHAnsi" w:eastAsiaTheme="majorEastAsia" w:hAnsiTheme="majorHAnsi" w:cstheme="majorBidi"/>
          <w:color w:val="0F4761" w:themeColor="accent1" w:themeShade="BF"/>
          <w:sz w:val="40"/>
          <w:szCs w:val="40"/>
        </w:rPr>
      </w:pPr>
      <w:r>
        <w:rPr>
          <w:sz w:val="40"/>
          <w:szCs w:val="40"/>
        </w:rPr>
        <w:br w:type="page"/>
      </w:r>
    </w:p>
    <w:p w14:paraId="471E4849" w14:textId="37C55396" w:rsidR="00C00C0C" w:rsidRPr="00C900EE" w:rsidRDefault="00C00C0C" w:rsidP="00C00C0C">
      <w:pPr>
        <w:pStyle w:val="Heading1"/>
        <w:rPr>
          <w:sz w:val="40"/>
          <w:szCs w:val="40"/>
        </w:rPr>
      </w:pPr>
      <w:bookmarkStart w:id="6" w:name="_Toc212542278"/>
      <w:commentRangeStart w:id="7"/>
      <w:commentRangeStart w:id="8"/>
      <w:commentRangeStart w:id="9"/>
      <w:commentRangeStart w:id="10"/>
      <w:r w:rsidRPr="00C900EE">
        <w:rPr>
          <w:sz w:val="40"/>
          <w:szCs w:val="40"/>
        </w:rPr>
        <w:lastRenderedPageBreak/>
        <w:t>Guidelines</w:t>
      </w:r>
      <w:bookmarkEnd w:id="3"/>
      <w:commentRangeEnd w:id="7"/>
      <w:r w:rsidR="004C22C0" w:rsidRPr="00C900EE">
        <w:rPr>
          <w:rStyle w:val="CommentReference"/>
          <w:rFonts w:asciiTheme="minorHAnsi" w:eastAsiaTheme="minorHAnsi" w:hAnsiTheme="minorHAnsi" w:cstheme="minorBidi"/>
          <w:color w:val="auto"/>
          <w:kern w:val="2"/>
          <w:sz w:val="20"/>
          <w:szCs w:val="20"/>
          <w:lang w:eastAsia="en-US"/>
          <w14:ligatures w14:val="standardContextual"/>
        </w:rPr>
        <w:commentReference w:id="7"/>
      </w:r>
      <w:commentRangeEnd w:id="8"/>
      <w:r w:rsidR="00161AD8" w:rsidRPr="00C900EE">
        <w:rPr>
          <w:rStyle w:val="CommentReference"/>
          <w:rFonts w:asciiTheme="minorHAnsi" w:eastAsiaTheme="minorHAnsi" w:hAnsiTheme="minorHAnsi" w:cstheme="minorBidi"/>
          <w:color w:val="auto"/>
          <w:kern w:val="2"/>
          <w:sz w:val="20"/>
          <w:szCs w:val="20"/>
          <w:lang w:eastAsia="en-US"/>
          <w14:ligatures w14:val="standardContextual"/>
        </w:rPr>
        <w:commentReference w:id="8"/>
      </w:r>
      <w:commentRangeEnd w:id="9"/>
      <w:r w:rsidR="00950E17" w:rsidRPr="00C900EE">
        <w:rPr>
          <w:rStyle w:val="CommentReference"/>
          <w:rFonts w:asciiTheme="minorHAnsi" w:eastAsiaTheme="minorHAnsi" w:hAnsiTheme="minorHAnsi" w:cstheme="minorBidi"/>
          <w:color w:val="auto"/>
          <w:kern w:val="2"/>
          <w:sz w:val="20"/>
          <w:szCs w:val="20"/>
          <w:lang w:eastAsia="en-US"/>
          <w14:ligatures w14:val="standardContextual"/>
        </w:rPr>
        <w:commentReference w:id="9"/>
      </w:r>
      <w:commentRangeEnd w:id="10"/>
      <w:r w:rsidR="00D40B72">
        <w:rPr>
          <w:rStyle w:val="CommentReference"/>
          <w:rFonts w:asciiTheme="minorHAnsi" w:eastAsiaTheme="minorHAnsi" w:hAnsiTheme="minorHAnsi" w:cstheme="minorBidi"/>
          <w:color w:val="auto"/>
          <w:kern w:val="2"/>
          <w:lang w:eastAsia="en-US"/>
          <w14:ligatures w14:val="standardContextual"/>
        </w:rPr>
        <w:commentReference w:id="10"/>
      </w:r>
      <w:bookmarkEnd w:id="6"/>
    </w:p>
    <w:p w14:paraId="0A886425" w14:textId="2E00B6AA" w:rsidR="00C00C0C" w:rsidRDefault="00C00C0C" w:rsidP="00C00C0C">
      <w:pPr>
        <w:pStyle w:val="Heading2"/>
        <w:rPr>
          <w:sz w:val="32"/>
          <w:szCs w:val="32"/>
        </w:rPr>
      </w:pPr>
      <w:bookmarkStart w:id="11" w:name="_Toc206580465"/>
      <w:bookmarkStart w:id="12" w:name="_Preoperative_Clinicians_(e.g.,"/>
      <w:bookmarkStart w:id="13" w:name="_Toc212542279"/>
      <w:bookmarkEnd w:id="12"/>
      <w:commentRangeStart w:id="14"/>
      <w:commentRangeStart w:id="15"/>
      <w:commentRangeStart w:id="16"/>
      <w:r w:rsidRPr="00C900EE">
        <w:rPr>
          <w:sz w:val="32"/>
          <w:szCs w:val="32"/>
        </w:rPr>
        <w:t>Preoperative Clinicians</w:t>
      </w:r>
      <w:r w:rsidR="008B237E" w:rsidRPr="00C900EE">
        <w:rPr>
          <w:sz w:val="32"/>
          <w:szCs w:val="32"/>
        </w:rPr>
        <w:t xml:space="preserve"> (e.g., Primary Care Clinician, Perioperative Clinician,</w:t>
      </w:r>
      <w:r w:rsidR="00C900EE">
        <w:rPr>
          <w:sz w:val="32"/>
          <w:szCs w:val="32"/>
        </w:rPr>
        <w:t xml:space="preserve"> Surgery Teams,</w:t>
      </w:r>
      <w:r w:rsidR="008B237E" w:rsidRPr="00C900EE">
        <w:rPr>
          <w:sz w:val="32"/>
          <w:szCs w:val="32"/>
        </w:rPr>
        <w:t xml:space="preserve"> etc.)</w:t>
      </w:r>
      <w:bookmarkEnd w:id="11"/>
      <w:r w:rsidR="008B237E" w:rsidRPr="00C900EE">
        <w:rPr>
          <w:sz w:val="32"/>
          <w:szCs w:val="32"/>
        </w:rPr>
        <w:t xml:space="preserve"> </w:t>
      </w:r>
      <w:commentRangeEnd w:id="14"/>
      <w:r w:rsidR="00DF3B50">
        <w:rPr>
          <w:rStyle w:val="CommentReference"/>
          <w:rFonts w:asciiTheme="minorHAnsi" w:eastAsiaTheme="minorHAnsi" w:hAnsiTheme="minorHAnsi" w:cstheme="minorBidi"/>
          <w:color w:val="auto"/>
          <w:kern w:val="2"/>
          <w:lang w:eastAsia="en-US"/>
          <w14:ligatures w14:val="standardContextual"/>
        </w:rPr>
        <w:commentReference w:id="14"/>
      </w:r>
      <w:commentRangeEnd w:id="15"/>
      <w:r w:rsidR="00590215">
        <w:rPr>
          <w:rStyle w:val="CommentReference"/>
          <w:rFonts w:asciiTheme="minorHAnsi" w:eastAsiaTheme="minorHAnsi" w:hAnsiTheme="minorHAnsi" w:cstheme="minorBidi"/>
          <w:color w:val="auto"/>
          <w:kern w:val="2"/>
          <w:lang w:eastAsia="en-US"/>
          <w14:ligatures w14:val="standardContextual"/>
        </w:rPr>
        <w:commentReference w:id="15"/>
      </w:r>
      <w:commentRangeEnd w:id="16"/>
      <w:r w:rsidR="0071688F">
        <w:rPr>
          <w:rStyle w:val="CommentReference"/>
          <w:rFonts w:asciiTheme="minorHAnsi" w:eastAsiaTheme="minorHAnsi" w:hAnsiTheme="minorHAnsi" w:cstheme="minorBidi"/>
          <w:color w:val="auto"/>
          <w:kern w:val="2"/>
          <w:lang w:eastAsia="en-US"/>
          <w14:ligatures w14:val="standardContextual"/>
        </w:rPr>
        <w:commentReference w:id="16"/>
      </w:r>
      <w:bookmarkEnd w:id="13"/>
    </w:p>
    <w:p w14:paraId="48F91AE0" w14:textId="4D4ACA31" w:rsidR="00ED7449" w:rsidRDefault="00ED7449" w:rsidP="008C3B7E">
      <w:pPr>
        <w:pStyle w:val="Heading4"/>
      </w:pPr>
      <w:r>
        <w:t>Perioperative Glycemic Control</w:t>
      </w:r>
    </w:p>
    <w:p w14:paraId="38312158" w14:textId="2BEC7ACC" w:rsidR="2B6EB7C3" w:rsidRPr="005021B2" w:rsidRDefault="2B6EB7C3" w:rsidP="7F394DB4">
      <w:pPr>
        <w:pStyle w:val="ListParagraph"/>
        <w:numPr>
          <w:ilvl w:val="0"/>
          <w:numId w:val="13"/>
        </w:numPr>
        <w:spacing w:line="278" w:lineRule="auto"/>
        <w:rPr>
          <w:color w:val="EE0000"/>
        </w:rPr>
      </w:pPr>
      <w:r w:rsidRPr="005021B2">
        <w:rPr>
          <w:color w:val="EE0000"/>
        </w:rPr>
        <w:t xml:space="preserve">Screen </w:t>
      </w:r>
      <w:r w:rsidR="35099E30" w:rsidRPr="005021B2">
        <w:rPr>
          <w:color w:val="EE0000"/>
        </w:rPr>
        <w:t xml:space="preserve">each patient referred for surgery </w:t>
      </w:r>
      <w:r w:rsidRPr="005021B2">
        <w:rPr>
          <w:color w:val="EE0000"/>
        </w:rPr>
        <w:t xml:space="preserve">for risk factors </w:t>
      </w:r>
      <w:r w:rsidR="460C78F0" w:rsidRPr="005021B2">
        <w:rPr>
          <w:color w:val="EE0000"/>
        </w:rPr>
        <w:t>not previously indicated on medical record (e.g., family history of diabetes)</w:t>
      </w:r>
    </w:p>
    <w:p w14:paraId="3A8BE460" w14:textId="690B16E2" w:rsidR="00446742" w:rsidRDefault="00482EBE" w:rsidP="00446742">
      <w:pPr>
        <w:pStyle w:val="ListParagraph"/>
        <w:numPr>
          <w:ilvl w:val="0"/>
          <w:numId w:val="13"/>
        </w:numPr>
        <w:spacing w:line="278" w:lineRule="auto"/>
      </w:pPr>
      <w:commentRangeStart w:id="17"/>
      <w:r w:rsidRPr="008C3B7E">
        <w:rPr>
          <w:b/>
          <w:bCs/>
        </w:rPr>
        <w:t xml:space="preserve">At </w:t>
      </w:r>
      <w:commentRangeEnd w:id="17"/>
      <w:r w:rsidR="00D21C2E">
        <w:rPr>
          <w:rStyle w:val="CommentReference"/>
          <w:rFonts w:eastAsiaTheme="minorHAnsi"/>
          <w:kern w:val="2"/>
          <w:lang w:eastAsia="en-US"/>
          <w14:ligatures w14:val="standardContextual"/>
        </w:rPr>
        <w:commentReference w:id="17"/>
      </w:r>
      <w:r w:rsidRPr="008C3B7E">
        <w:rPr>
          <w:b/>
          <w:bCs/>
        </w:rPr>
        <w:t>the time a referral for</w:t>
      </w:r>
      <w:r w:rsidR="008B4F41" w:rsidRPr="008C3B7E">
        <w:rPr>
          <w:b/>
          <w:bCs/>
        </w:rPr>
        <w:t xml:space="preserve"> major elective</w:t>
      </w:r>
      <w:r w:rsidRPr="008C3B7E">
        <w:rPr>
          <w:b/>
          <w:bCs/>
        </w:rPr>
        <w:t xml:space="preserve"> surgery is considered, evaluate glycemic control</w:t>
      </w:r>
      <w:r w:rsidR="007B68B4">
        <w:t xml:space="preserve"> for patients with or at risk for diabetes </w:t>
      </w:r>
      <w:r w:rsidR="008B237E">
        <w:t xml:space="preserve">(e.g., age 45+, BM 30 kg/m2 +, familial history of diabetes, past medical history of gestational diabetes) </w:t>
      </w:r>
      <w:r>
        <w:t>(</w:t>
      </w:r>
      <w:hyperlink r:id="rId20">
        <w:r w:rsidRPr="3D5EC425">
          <w:rPr>
            <w:rStyle w:val="Hyperlink"/>
          </w:rPr>
          <w:t>AAFP</w:t>
        </w:r>
      </w:hyperlink>
      <w:r>
        <w:t>)</w:t>
      </w:r>
    </w:p>
    <w:p w14:paraId="5E6B5EA5" w14:textId="38CA89AB" w:rsidR="00446742" w:rsidRDefault="007B68B4" w:rsidP="00446742">
      <w:pPr>
        <w:pStyle w:val="ListParagraph"/>
        <w:numPr>
          <w:ilvl w:val="0"/>
          <w:numId w:val="13"/>
        </w:numPr>
        <w:spacing w:line="278" w:lineRule="auto"/>
      </w:pPr>
      <w:r w:rsidRPr="0023314B">
        <w:rPr>
          <w:b/>
          <w:bCs/>
        </w:rPr>
        <w:t xml:space="preserve">Perform testing </w:t>
      </w:r>
      <w:r w:rsidR="008B237E" w:rsidRPr="0023314B">
        <w:rPr>
          <w:b/>
          <w:bCs/>
        </w:rPr>
        <w:t>as early as possible</w:t>
      </w:r>
      <w:r w:rsidR="008B237E">
        <w:t xml:space="preserve"> in presurgical process</w:t>
      </w:r>
      <w:r w:rsidR="00061661">
        <w:t xml:space="preserve"> (i.e. with enough time to be able to make changes to optimize patient health)</w:t>
      </w:r>
      <w:r w:rsidR="008B237E">
        <w:t xml:space="preserve">. </w:t>
      </w:r>
    </w:p>
    <w:p w14:paraId="672AD0BB" w14:textId="77777777" w:rsidR="00446742" w:rsidRDefault="00482EBE" w:rsidP="00446742">
      <w:pPr>
        <w:pStyle w:val="ListParagraph"/>
        <w:numPr>
          <w:ilvl w:val="0"/>
          <w:numId w:val="13"/>
        </w:numPr>
        <w:spacing w:line="278" w:lineRule="auto"/>
      </w:pPr>
      <w:r w:rsidRPr="0023314B">
        <w:rPr>
          <w:b/>
          <w:bCs/>
        </w:rPr>
        <w:t>Screen for health-related social needs</w:t>
      </w:r>
      <w:r>
        <w:t xml:space="preserve">, including food insecurity </w:t>
      </w:r>
    </w:p>
    <w:p w14:paraId="24201047" w14:textId="23FA12DC" w:rsidR="00446742" w:rsidRDefault="5C0C04E1" w:rsidP="00446742">
      <w:pPr>
        <w:pStyle w:val="ListParagraph"/>
        <w:numPr>
          <w:ilvl w:val="1"/>
          <w:numId w:val="13"/>
        </w:numPr>
        <w:spacing w:line="278" w:lineRule="auto"/>
      </w:pPr>
      <w:r>
        <w:t>Consider using tools (such as</w:t>
      </w:r>
      <w:r w:rsidR="00370293">
        <w:t xml:space="preserve"> the Protocol for Responding to and Assessing Patients’ Assets, Risks and Experiences</w:t>
      </w:r>
      <w:r w:rsidR="009111EB">
        <w:t xml:space="preserve"> </w:t>
      </w:r>
      <w:r w:rsidR="00370293">
        <w:t>(</w:t>
      </w:r>
      <w:hyperlink r:id="rId21">
        <w:r w:rsidRPr="7F394DB4">
          <w:rPr>
            <w:rStyle w:val="Hyperlink"/>
          </w:rPr>
          <w:t>PRAPARE</w:t>
        </w:r>
      </w:hyperlink>
      <w:r w:rsidR="00370293">
        <w:t>)</w:t>
      </w:r>
      <w:r>
        <w:t xml:space="preserve">) and document results in the medical record. </w:t>
      </w:r>
    </w:p>
    <w:p w14:paraId="72867180" w14:textId="0D021659" w:rsidR="00482EBE" w:rsidRDefault="008B237E" w:rsidP="00446742">
      <w:pPr>
        <w:pStyle w:val="ListParagraph"/>
        <w:numPr>
          <w:ilvl w:val="1"/>
          <w:numId w:val="13"/>
        </w:numPr>
        <w:spacing w:line="278" w:lineRule="auto"/>
      </w:pPr>
      <w:r>
        <w:t xml:space="preserve">Refer to staff or community </w:t>
      </w:r>
      <w:proofErr w:type="gramStart"/>
      <w:r>
        <w:t>organization</w:t>
      </w:r>
      <w:proofErr w:type="gramEnd"/>
      <w:r>
        <w:t xml:space="preserve"> that can help to address identified needs (e.g., team social </w:t>
      </w:r>
      <w:proofErr w:type="gramStart"/>
      <w:r>
        <w:t>worker</w:t>
      </w:r>
      <w:proofErr w:type="gramEnd"/>
      <w:r>
        <w:t xml:space="preserve">, local resource hub, etc.)  </w:t>
      </w:r>
    </w:p>
    <w:p w14:paraId="79E6095B" w14:textId="77777777" w:rsidR="00446742" w:rsidRPr="0049148F" w:rsidRDefault="00482EBE" w:rsidP="00446742">
      <w:pPr>
        <w:pStyle w:val="ListParagraph"/>
        <w:numPr>
          <w:ilvl w:val="0"/>
          <w:numId w:val="13"/>
        </w:numPr>
        <w:spacing w:line="278" w:lineRule="auto"/>
      </w:pPr>
      <w:r w:rsidRPr="00446742">
        <w:rPr>
          <w:b/>
          <w:bCs/>
        </w:rPr>
        <w:t>For patients with</w:t>
      </w:r>
      <w:r w:rsidR="008E07D6" w:rsidRPr="00446742">
        <w:rPr>
          <w:b/>
          <w:bCs/>
        </w:rPr>
        <w:t xml:space="preserve"> </w:t>
      </w:r>
      <w:r w:rsidRPr="0049148F">
        <w:rPr>
          <w:b/>
          <w:bCs/>
        </w:rPr>
        <w:t>diabetes</w:t>
      </w:r>
      <w:r w:rsidRPr="0049148F">
        <w:t xml:space="preserve">: </w:t>
      </w:r>
    </w:p>
    <w:p w14:paraId="4CC7E80D" w14:textId="0C14B7A9" w:rsidR="00446742" w:rsidRPr="00446742" w:rsidRDefault="00E03C60" w:rsidP="00446742">
      <w:pPr>
        <w:pStyle w:val="ListParagraph"/>
        <w:numPr>
          <w:ilvl w:val="1"/>
          <w:numId w:val="13"/>
        </w:numPr>
        <w:spacing w:line="278" w:lineRule="auto"/>
        <w:rPr>
          <w:strike/>
        </w:rPr>
      </w:pPr>
      <w:r w:rsidRPr="0049148F">
        <w:t>Perform a preoperat</w:t>
      </w:r>
      <w:r>
        <w:t>ive risk assessment</w:t>
      </w:r>
      <w:r w:rsidR="008E07D6">
        <w:t xml:space="preserve"> for people at high risk for ischemic heart disease, those with autonomic neuropathy or </w:t>
      </w:r>
      <w:r w:rsidR="00204D90">
        <w:t>chronic kidney disease</w:t>
      </w:r>
      <w:r w:rsidR="008E07D6">
        <w:t xml:space="preserve">, per most updated </w:t>
      </w:r>
      <w:hyperlink r:id="rId22" w:history="1">
        <w:r w:rsidR="008E07D6" w:rsidRPr="00C125F7">
          <w:rPr>
            <w:rStyle w:val="Hyperlink"/>
          </w:rPr>
          <w:t>American Diabetes Association</w:t>
        </w:r>
      </w:hyperlink>
      <w:r w:rsidR="008E07D6">
        <w:t xml:space="preserve"> </w:t>
      </w:r>
      <w:r w:rsidR="000C477F">
        <w:t xml:space="preserve">(ADA) </w:t>
      </w:r>
      <w:r w:rsidR="008E07D6">
        <w:t xml:space="preserve">guidelines. </w:t>
      </w:r>
    </w:p>
    <w:p w14:paraId="3385A661" w14:textId="02AE09EE" w:rsidR="00446742" w:rsidRDefault="00482EBE" w:rsidP="00446742">
      <w:pPr>
        <w:pStyle w:val="ListParagraph"/>
        <w:numPr>
          <w:ilvl w:val="1"/>
          <w:numId w:val="13"/>
        </w:numPr>
        <w:spacing w:line="278" w:lineRule="auto"/>
      </w:pPr>
      <w:r>
        <w:t xml:space="preserve">Discuss and determine goals </w:t>
      </w:r>
      <w:r w:rsidR="282BC71F">
        <w:t xml:space="preserve">(e.g., </w:t>
      </w:r>
      <w:r w:rsidR="45420DD7">
        <w:t>reduction of HbA1c</w:t>
      </w:r>
      <w:r w:rsidR="00742E54">
        <w:t xml:space="preserve">, if using </w:t>
      </w:r>
      <w:commentRangeStart w:id="18"/>
      <w:r w:rsidR="120D40A6">
        <w:t xml:space="preserve">continuous glucose monitoring - </w:t>
      </w:r>
      <w:commentRangeEnd w:id="18"/>
      <w:r>
        <w:rPr>
          <w:rStyle w:val="CommentReference"/>
        </w:rPr>
        <w:commentReference w:id="18"/>
      </w:r>
      <w:r w:rsidR="00742E54">
        <w:t>goal</w:t>
      </w:r>
      <w:r w:rsidR="003A5353">
        <w:t xml:space="preserve"> of </w:t>
      </w:r>
      <w:r w:rsidR="00742E54">
        <w:t xml:space="preserve">70% </w:t>
      </w:r>
      <w:r w:rsidR="003A5353">
        <w:t xml:space="preserve">time in range between 70-180 blood glucose) </w:t>
      </w:r>
      <w:r>
        <w:t xml:space="preserve">of medical optimization of glycemic control before surgery </w:t>
      </w:r>
      <w:r w:rsidR="002462EE">
        <w:t>in collaboration with the</w:t>
      </w:r>
      <w:r>
        <w:t xml:space="preserve"> patient and</w:t>
      </w:r>
      <w:r w:rsidR="002462EE">
        <w:t xml:space="preserve"> their</w:t>
      </w:r>
      <w:r>
        <w:t xml:space="preserve"> support system</w:t>
      </w:r>
      <w:r w:rsidR="002462EE">
        <w:t xml:space="preserve"> as appropriate. </w:t>
      </w:r>
    </w:p>
    <w:p w14:paraId="11958C75" w14:textId="211EBF06" w:rsidR="00855D49" w:rsidRPr="00EC5CE8" w:rsidRDefault="00393187" w:rsidP="00446742">
      <w:pPr>
        <w:pStyle w:val="ListParagraph"/>
        <w:numPr>
          <w:ilvl w:val="1"/>
          <w:numId w:val="13"/>
        </w:numPr>
        <w:spacing w:line="278" w:lineRule="auto"/>
      </w:pPr>
      <w:r>
        <w:t>S</w:t>
      </w:r>
      <w:r w:rsidR="112AC1C6">
        <w:t>et a</w:t>
      </w:r>
      <w:r>
        <w:t>n</w:t>
      </w:r>
      <w:r w:rsidR="00482EBE" w:rsidRPr="00714E00">
        <w:t xml:space="preserve"> HbA1c goal for </w:t>
      </w:r>
      <w:r w:rsidR="00E03C60">
        <w:t xml:space="preserve">surgery </w:t>
      </w:r>
    </w:p>
    <w:p w14:paraId="31E00D8D" w14:textId="02D36FBC" w:rsidR="00446742" w:rsidRDefault="00731C5F" w:rsidP="45821746">
      <w:pPr>
        <w:pStyle w:val="ListParagraph"/>
        <w:numPr>
          <w:ilvl w:val="2"/>
          <w:numId w:val="13"/>
        </w:numPr>
        <w:spacing w:line="278" w:lineRule="auto"/>
      </w:pPr>
      <w:r w:rsidRPr="00446742">
        <w:rPr>
          <w:b/>
          <w:bCs/>
        </w:rPr>
        <w:t xml:space="preserve">Whenever possible, </w:t>
      </w:r>
      <w:r w:rsidR="112AC1C6" w:rsidRPr="45821746">
        <w:rPr>
          <w:b/>
          <w:bCs/>
        </w:rPr>
        <w:t xml:space="preserve">target </w:t>
      </w:r>
      <w:r w:rsidR="006E1C20" w:rsidRPr="45821746">
        <w:rPr>
          <w:b/>
          <w:bCs/>
        </w:rPr>
        <w:t>should be</w:t>
      </w:r>
      <w:r w:rsidR="00482EBE" w:rsidRPr="00446742">
        <w:rPr>
          <w:b/>
          <w:bCs/>
        </w:rPr>
        <w:t xml:space="preserve"> HbA1c &lt;8</w:t>
      </w:r>
      <w:r w:rsidR="112AC1C6" w:rsidRPr="45821746">
        <w:rPr>
          <w:b/>
          <w:bCs/>
        </w:rPr>
        <w:t>%.</w:t>
      </w:r>
      <w:r w:rsidR="00482EBE">
        <w:t xml:space="preserve"> </w:t>
      </w:r>
    </w:p>
    <w:p w14:paraId="4CBAD1B8" w14:textId="398381FC" w:rsidR="00482EBE" w:rsidRPr="001F2495" w:rsidRDefault="00482EBE" w:rsidP="00E03C60">
      <w:pPr>
        <w:pStyle w:val="ListParagraph"/>
        <w:numPr>
          <w:ilvl w:val="2"/>
          <w:numId w:val="13"/>
        </w:numPr>
        <w:spacing w:line="278" w:lineRule="auto"/>
      </w:pPr>
      <w:r>
        <w:t xml:space="preserve">HbA1c is highly individualized, and goals of optimization should be made between patients and providers considering co-occurring conditions and risks for hypoglycemic events. </w:t>
      </w:r>
      <w:r w:rsidR="00D17306">
        <w:t xml:space="preserve">For patients requiring insulin, a </w:t>
      </w:r>
      <w:r w:rsidR="00160509">
        <w:t>continuous</w:t>
      </w:r>
      <w:r w:rsidR="00D17306">
        <w:t xml:space="preserve"> glucose sensor is recommended according to </w:t>
      </w:r>
      <w:hyperlink r:id="rId23" w:history="1">
        <w:r w:rsidR="000C477F" w:rsidRPr="003F4071">
          <w:rPr>
            <w:rStyle w:val="Hyperlink"/>
          </w:rPr>
          <w:t>ADA standards of care</w:t>
        </w:r>
      </w:hyperlink>
      <w:r w:rsidR="00D17306">
        <w:t xml:space="preserve">. </w:t>
      </w:r>
      <w:r w:rsidRPr="00446742">
        <w:rPr>
          <w:b/>
          <w:bCs/>
        </w:rPr>
        <w:t xml:space="preserve">See </w:t>
      </w:r>
      <w:hyperlink w:anchor="_Appendix_C._Common" w:history="1">
        <w:r w:rsidR="00AA6566" w:rsidRPr="00AA6566">
          <w:rPr>
            <w:rStyle w:val="Hyperlink"/>
            <w:b/>
            <w:bCs/>
          </w:rPr>
          <w:t>Appendix D</w:t>
        </w:r>
      </w:hyperlink>
      <w:r w:rsidR="00AA6566">
        <w:rPr>
          <w:b/>
          <w:bCs/>
        </w:rPr>
        <w:t xml:space="preserve"> </w:t>
      </w:r>
      <w:r w:rsidRPr="00446742">
        <w:rPr>
          <w:b/>
          <w:bCs/>
        </w:rPr>
        <w:t xml:space="preserve">for common clinical conditions that affect HbA1c.  </w:t>
      </w:r>
    </w:p>
    <w:p w14:paraId="063CE1E5" w14:textId="0F5CD9E2" w:rsidR="00691F7A" w:rsidRDefault="001F2495" w:rsidP="001F2495">
      <w:pPr>
        <w:pStyle w:val="ListParagraph"/>
        <w:numPr>
          <w:ilvl w:val="1"/>
          <w:numId w:val="13"/>
        </w:numPr>
        <w:spacing w:line="278" w:lineRule="auto"/>
      </w:pPr>
      <w:r>
        <w:t>C</w:t>
      </w:r>
      <w:r w:rsidR="00482EBE">
        <w:t xml:space="preserve">onsider referring to a certified diabetes education specialist and/or registered dietician/nutritionist for support with optimization. </w:t>
      </w:r>
    </w:p>
    <w:p w14:paraId="360C5AE2" w14:textId="3E34AF7B" w:rsidR="00482EBE" w:rsidRDefault="00482EBE" w:rsidP="001F2495">
      <w:pPr>
        <w:pStyle w:val="ListParagraph"/>
        <w:numPr>
          <w:ilvl w:val="1"/>
          <w:numId w:val="13"/>
        </w:numPr>
        <w:spacing w:line="278" w:lineRule="auto"/>
      </w:pPr>
      <w:r>
        <w:lastRenderedPageBreak/>
        <w:t xml:space="preserve">Consider referral to a </w:t>
      </w:r>
      <w:commentRangeStart w:id="19"/>
      <w:r>
        <w:fldChar w:fldCharType="begin"/>
      </w:r>
      <w:r>
        <w:instrText>HYPERLINK "https://diabetes.org/about-diabetes/diabetes-prevention/dpp" \h</w:instrText>
      </w:r>
      <w:r>
        <w:fldChar w:fldCharType="separate"/>
      </w:r>
      <w:r w:rsidRPr="7F394DB4">
        <w:rPr>
          <w:rStyle w:val="Hyperlink"/>
        </w:rPr>
        <w:t>Diabetes Prevention Program</w:t>
      </w:r>
      <w:r>
        <w:fldChar w:fldCharType="end"/>
      </w:r>
      <w:r>
        <w:t xml:space="preserve"> </w:t>
      </w:r>
      <w:commentRangeEnd w:id="19"/>
      <w:r>
        <w:rPr>
          <w:rStyle w:val="CommentReference"/>
        </w:rPr>
        <w:commentReference w:id="19"/>
      </w:r>
      <w:r>
        <w:t>as applicable.</w:t>
      </w:r>
    </w:p>
    <w:p w14:paraId="249F1215" w14:textId="1D72B900" w:rsidR="00DE3A1C" w:rsidRDefault="00E31369" w:rsidP="00DE3A1C">
      <w:pPr>
        <w:pStyle w:val="ListParagraph"/>
        <w:numPr>
          <w:ilvl w:val="1"/>
          <w:numId w:val="13"/>
        </w:numPr>
        <w:spacing w:line="278" w:lineRule="auto"/>
      </w:pPr>
      <w:r>
        <w:t xml:space="preserve">Plan medication management </w:t>
      </w:r>
      <w:r w:rsidR="00DE3A1C">
        <w:t>as appropriate, including but not limited to:</w:t>
      </w:r>
      <w:r w:rsidR="00DE3A1C" w:rsidRPr="00EA21EE">
        <w:rPr>
          <w:rStyle w:val="EndnoteReference"/>
        </w:rPr>
        <w:t xml:space="preserve"> </w:t>
      </w:r>
      <w:r w:rsidR="003663AA">
        <w:rPr>
          <w:rFonts w:ascii="ZWAdobeF" w:hAnsi="ZWAdobeF" w:cs="ZWAdobeF"/>
          <w:sz w:val="2"/>
          <w:szCs w:val="2"/>
        </w:rPr>
        <w:t>6F</w:t>
      </w:r>
      <w:r w:rsidR="00DE3A1C">
        <w:rPr>
          <w:rStyle w:val="EndnoteReference"/>
        </w:rPr>
        <w:endnoteReference w:id="11"/>
      </w:r>
      <w:r w:rsidR="00DE3A1C">
        <w:t xml:space="preserve">  </w:t>
      </w:r>
    </w:p>
    <w:p w14:paraId="23F8AFCF" w14:textId="049E5781" w:rsidR="003D3180" w:rsidRPr="003D3180" w:rsidRDefault="00DE3A1C" w:rsidP="0020368F">
      <w:pPr>
        <w:pStyle w:val="ListParagraph"/>
        <w:numPr>
          <w:ilvl w:val="2"/>
          <w:numId w:val="13"/>
        </w:numPr>
        <w:spacing w:line="278" w:lineRule="auto"/>
      </w:pPr>
      <w:r>
        <w:t xml:space="preserve">Insulin transition plans for insulin-dependent patients with diabetes, </w:t>
      </w:r>
      <w:r w:rsidRPr="00C10DAE">
        <w:t>including those on automated insulin delivery systems (AID)</w:t>
      </w:r>
      <w:r w:rsidR="00F72528" w:rsidRPr="00C10DAE">
        <w:t xml:space="preserve"> </w:t>
      </w:r>
    </w:p>
    <w:p w14:paraId="62D51A9A" w14:textId="77777777" w:rsidR="003D3180" w:rsidRPr="00FD2594" w:rsidRDefault="5C0C04E1" w:rsidP="5C0C04E1">
      <w:pPr>
        <w:pStyle w:val="ListParagraph"/>
        <w:numPr>
          <w:ilvl w:val="3"/>
          <w:numId w:val="13"/>
        </w:numPr>
        <w:spacing w:line="278" w:lineRule="auto"/>
      </w:pPr>
      <w:r w:rsidRPr="5C0C04E1">
        <w:t xml:space="preserve">Basal insulin plus pre-meal short- or rapid-acting coverage </w:t>
      </w:r>
      <w:r w:rsidRPr="00FD2594">
        <w:t xml:space="preserve">supports improved glycemic outcomes and lower perioperative complications. </w:t>
      </w:r>
    </w:p>
    <w:p w14:paraId="2483D9E5" w14:textId="5BED18C5" w:rsidR="00A90E4F" w:rsidRPr="00FD2594" w:rsidRDefault="5C0C04E1" w:rsidP="5C0C04E1">
      <w:pPr>
        <w:pStyle w:val="ListParagraph"/>
        <w:numPr>
          <w:ilvl w:val="3"/>
          <w:numId w:val="13"/>
        </w:numPr>
        <w:spacing w:line="278" w:lineRule="auto"/>
      </w:pPr>
      <w:r w:rsidRPr="00FD2594">
        <w:t xml:space="preserve">Reduction of </w:t>
      </w:r>
      <w:r w:rsidR="00DA2280" w:rsidRPr="00FD2594">
        <w:t>10-</w:t>
      </w:r>
      <w:r w:rsidRPr="00FD2594">
        <w:t>25% basal insulin dose given evening before surgery can lower risk of hypoglycemia</w:t>
      </w:r>
      <w:r w:rsidR="00DA2280" w:rsidRPr="00FD2594">
        <w:t xml:space="preserve"> based on individual patient circumstances. </w:t>
      </w:r>
    </w:p>
    <w:p w14:paraId="54CFB5FA" w14:textId="021AFEA0" w:rsidR="00DE3A1C" w:rsidRPr="00FD2594" w:rsidRDefault="00113B30" w:rsidP="112AC1C6">
      <w:pPr>
        <w:pStyle w:val="ListParagraph"/>
        <w:numPr>
          <w:ilvl w:val="2"/>
          <w:numId w:val="13"/>
        </w:numPr>
        <w:spacing w:line="278" w:lineRule="auto"/>
      </w:pPr>
      <w:r w:rsidRPr="00FD2594">
        <w:t xml:space="preserve">Consider </w:t>
      </w:r>
      <w:r w:rsidR="000C608D" w:rsidRPr="00FD2594">
        <w:t>with</w:t>
      </w:r>
      <w:r w:rsidRPr="00FD2594">
        <w:t xml:space="preserve">holding </w:t>
      </w:r>
      <w:r w:rsidR="112AC1C6" w:rsidRPr="00FD2594">
        <w:t>oral diabetes medications</w:t>
      </w:r>
    </w:p>
    <w:p w14:paraId="53A87A08" w14:textId="6B47F607" w:rsidR="008F4338" w:rsidRPr="00FD2594" w:rsidRDefault="0086455D" w:rsidP="00F63540">
      <w:pPr>
        <w:pStyle w:val="ListParagraph"/>
        <w:numPr>
          <w:ilvl w:val="3"/>
          <w:numId w:val="13"/>
        </w:numPr>
        <w:spacing w:line="278" w:lineRule="auto"/>
      </w:pPr>
      <w:r w:rsidRPr="00FD2594">
        <w:t xml:space="preserve">Newer oral meds all have prolonged fasting recommendations (currently clears only for 24hrs) and some </w:t>
      </w:r>
      <w:r w:rsidR="00301482" w:rsidRPr="00FD2594">
        <w:t>may</w:t>
      </w:r>
      <w:r w:rsidR="005750D7" w:rsidRPr="00FD2594">
        <w:t xml:space="preserve"> require holding for 72+ </w:t>
      </w:r>
      <w:proofErr w:type="spellStart"/>
      <w:r w:rsidR="005750D7" w:rsidRPr="00FD2594">
        <w:t>hrs</w:t>
      </w:r>
      <w:proofErr w:type="spellEnd"/>
      <w:r w:rsidRPr="00FD2594">
        <w:t xml:space="preserve">: </w:t>
      </w:r>
      <w:r w:rsidR="008F4338" w:rsidRPr="00FD2594">
        <w:t>GLP-1 RAs and/or GLP-1/GIP Ras, DPP-4 inhibitors</w:t>
      </w:r>
      <w:r w:rsidR="112AC1C6" w:rsidRPr="00FD2594">
        <w:t xml:space="preserve"> </w:t>
      </w:r>
    </w:p>
    <w:p w14:paraId="6D2A2635" w14:textId="1D1FE044" w:rsidR="00DE3A1C" w:rsidRPr="00FD2594" w:rsidRDefault="000C608D" w:rsidP="7F394DB4">
      <w:pPr>
        <w:pStyle w:val="ListParagraph"/>
        <w:numPr>
          <w:ilvl w:val="2"/>
          <w:numId w:val="13"/>
        </w:numPr>
        <w:spacing w:after="0" w:line="278" w:lineRule="auto"/>
      </w:pPr>
      <w:r w:rsidRPr="00FD2594">
        <w:t>Withh</w:t>
      </w:r>
      <w:r w:rsidR="005750D7" w:rsidRPr="00FD2594">
        <w:t xml:space="preserve">olding versus continuing other meds will </w:t>
      </w:r>
      <w:r w:rsidR="00AC31F1" w:rsidRPr="00FD2594">
        <w:t>depend on</w:t>
      </w:r>
      <w:r w:rsidR="112AC1C6" w:rsidRPr="00FD2594">
        <w:t xml:space="preserve"> </w:t>
      </w:r>
      <w:r w:rsidR="00301482" w:rsidRPr="00FD2594">
        <w:t>ren</w:t>
      </w:r>
      <w:r w:rsidR="00BD7820" w:rsidRPr="00FD2594">
        <w:t xml:space="preserve">al function and other patient factors: </w:t>
      </w:r>
      <w:r w:rsidR="0086455D" w:rsidRPr="00FD2594">
        <w:t xml:space="preserve">Oral </w:t>
      </w:r>
      <w:r w:rsidR="008B535A" w:rsidRPr="00FD2594">
        <w:t>hypoglycemics</w:t>
      </w:r>
      <w:r w:rsidR="112AC1C6" w:rsidRPr="00FD2594">
        <w:t>, sulfonylureas, meglitinides, thiazolidinediones, etc.</w:t>
      </w:r>
      <w:r w:rsidR="00EC5CE8" w:rsidRPr="00FD2594">
        <w:t xml:space="preserve"> </w:t>
      </w:r>
      <w:r w:rsidR="5C0C04E1" w:rsidRPr="00FD2594">
        <w:t xml:space="preserve">Consider holding </w:t>
      </w:r>
      <w:r w:rsidR="530D39F5" w:rsidRPr="00FD2594">
        <w:t>sodium-glucose transport protein 2 (</w:t>
      </w:r>
      <w:commentRangeStart w:id="20"/>
      <w:r w:rsidR="5C0C04E1" w:rsidRPr="00FD2594">
        <w:t>SGLT2</w:t>
      </w:r>
      <w:r w:rsidR="36CED521" w:rsidRPr="00FD2594">
        <w:t>)</w:t>
      </w:r>
      <w:r w:rsidR="5C0C04E1" w:rsidRPr="00FD2594">
        <w:t xml:space="preserve"> </w:t>
      </w:r>
      <w:commentRangeEnd w:id="20"/>
      <w:r w:rsidR="00B05C50">
        <w:rPr>
          <w:rStyle w:val="CommentReference"/>
          <w:rFonts w:eastAsiaTheme="minorHAnsi"/>
          <w:kern w:val="2"/>
          <w:lang w:eastAsia="en-US"/>
          <w14:ligatures w14:val="standardContextual"/>
        </w:rPr>
        <w:commentReference w:id="20"/>
      </w:r>
      <w:r w:rsidR="5C0C04E1" w:rsidRPr="00FD2594">
        <w:t>inhibitors 3-4 days before surgery</w:t>
      </w:r>
      <w:r w:rsidR="003663AA">
        <w:rPr>
          <w:rFonts w:ascii="ZWAdobeF" w:hAnsi="ZWAdobeF" w:cs="ZWAdobeF"/>
          <w:sz w:val="2"/>
          <w:szCs w:val="2"/>
        </w:rPr>
        <w:t>7F</w:t>
      </w:r>
      <w:r w:rsidR="00B114AC" w:rsidRPr="00FD2594">
        <w:rPr>
          <w:rStyle w:val="EndnoteReference"/>
        </w:rPr>
        <w:endnoteReference w:id="12"/>
      </w:r>
    </w:p>
    <w:p w14:paraId="0147E0AC" w14:textId="66080D70" w:rsidR="0032456C" w:rsidRPr="00FD2594" w:rsidRDefault="002135EA" w:rsidP="7F394DB4">
      <w:pPr>
        <w:numPr>
          <w:ilvl w:val="2"/>
          <w:numId w:val="13"/>
        </w:numPr>
        <w:spacing w:after="0" w:line="278" w:lineRule="auto"/>
      </w:pPr>
      <w:r>
        <w:t>If a patient is unable to demonstrate good glycemic control (e.g., HbA1c &lt; 8%</w:t>
      </w:r>
      <w:r w:rsidR="00CB738E">
        <w:t>,</w:t>
      </w:r>
      <w:r w:rsidR="00741EF7">
        <w:t xml:space="preserve"> or if appropriate a</w:t>
      </w:r>
      <w:r w:rsidR="00CB738E">
        <w:t xml:space="preserve"> CGM </w:t>
      </w:r>
      <w:r w:rsidR="00741EF7">
        <w:t>6</w:t>
      </w:r>
      <w:r w:rsidR="00742E54">
        <w:t>0%</w:t>
      </w:r>
      <w:r w:rsidR="00741EF7">
        <w:t xml:space="preserve"> target in range</w:t>
      </w:r>
      <w:r>
        <w:t>), or plan for good glycemic control</w:t>
      </w:r>
      <w:r w:rsidR="00741EF7">
        <w:t>:</w:t>
      </w:r>
    </w:p>
    <w:p w14:paraId="7B072E7F" w14:textId="4822F27F" w:rsidR="002135EA" w:rsidRPr="00FD2594" w:rsidRDefault="0032456C" w:rsidP="45821746">
      <w:pPr>
        <w:pStyle w:val="ListParagraph"/>
        <w:numPr>
          <w:ilvl w:val="3"/>
          <w:numId w:val="13"/>
        </w:numPr>
        <w:spacing w:line="278" w:lineRule="auto"/>
      </w:pPr>
      <w:r w:rsidRPr="00FD2594">
        <w:t>C</w:t>
      </w:r>
      <w:r w:rsidR="002135EA" w:rsidRPr="00FD2594">
        <w:t xml:space="preserve">onsider the benefits and risks of recommending delaying the procedure until reaching the patient’s individualized threshold for glycemic control. </w:t>
      </w:r>
      <w:r w:rsidR="00B76C3A" w:rsidRPr="00FD2594">
        <w:t>May also be influenced</w:t>
      </w:r>
      <w:r w:rsidR="00415A78" w:rsidRPr="00FD2594">
        <w:t xml:space="preserve"> </w:t>
      </w:r>
      <w:r w:rsidR="00B76C3A" w:rsidRPr="00FD2594">
        <w:t xml:space="preserve">by </w:t>
      </w:r>
      <w:r w:rsidR="00415A78" w:rsidRPr="00FD2594">
        <w:t xml:space="preserve">availability of intensive </w:t>
      </w:r>
      <w:r w:rsidR="0049320E" w:rsidRPr="00FD2594">
        <w:t xml:space="preserve">perioperative </w:t>
      </w:r>
      <w:r w:rsidR="00415A78" w:rsidRPr="00FD2594">
        <w:t xml:space="preserve">glycemic control resources </w:t>
      </w:r>
      <w:r w:rsidR="0049320E" w:rsidRPr="00FD2594">
        <w:t>(e.g. inpatient admission)</w:t>
      </w:r>
      <w:r w:rsidR="00B76C3A" w:rsidRPr="00FD2594">
        <w:t>.</w:t>
      </w:r>
    </w:p>
    <w:p w14:paraId="6C600EEF" w14:textId="5EE34BE0" w:rsidR="002135EA" w:rsidRPr="00FD2594" w:rsidRDefault="5C0C04E1" w:rsidP="45821746">
      <w:pPr>
        <w:pStyle w:val="ListParagraph"/>
        <w:numPr>
          <w:ilvl w:val="3"/>
          <w:numId w:val="13"/>
        </w:numPr>
        <w:spacing w:line="278" w:lineRule="auto"/>
      </w:pPr>
      <w:r w:rsidRPr="00FD2594">
        <w:t>Consider waiting to schedule the elective procedure until patient reaches their individualized threshold for glycemic control optimization</w:t>
      </w:r>
    </w:p>
    <w:p w14:paraId="13075E2E" w14:textId="266688A6" w:rsidR="00482EBE" w:rsidRPr="00FD2594" w:rsidRDefault="00482EBE" w:rsidP="00711293">
      <w:pPr>
        <w:pStyle w:val="ListParagraph"/>
        <w:numPr>
          <w:ilvl w:val="0"/>
          <w:numId w:val="13"/>
        </w:numPr>
        <w:spacing w:line="278" w:lineRule="auto"/>
      </w:pPr>
      <w:r w:rsidRPr="00FD2594">
        <w:rPr>
          <w:b/>
          <w:bCs/>
        </w:rPr>
        <w:t>Communicate glycemic control status and optimization plan to surgery team</w:t>
      </w:r>
      <w:r w:rsidRPr="00FD2594">
        <w:t xml:space="preserve"> in referral and/or handoff. Plans should include, but</w:t>
      </w:r>
      <w:r w:rsidR="000B4FB5" w:rsidRPr="00FD2594">
        <w:t xml:space="preserve"> are</w:t>
      </w:r>
      <w:r w:rsidRPr="00FD2594">
        <w:t xml:space="preserve"> not limited to: </w:t>
      </w:r>
    </w:p>
    <w:p w14:paraId="698C18AD" w14:textId="77777777" w:rsidR="00711293" w:rsidRPr="00FD2594" w:rsidRDefault="00711293" w:rsidP="00711293">
      <w:pPr>
        <w:pStyle w:val="ListParagraph"/>
        <w:numPr>
          <w:ilvl w:val="1"/>
          <w:numId w:val="13"/>
        </w:numPr>
        <w:spacing w:line="278" w:lineRule="auto"/>
      </w:pPr>
      <w:r w:rsidRPr="00FD2594">
        <w:t>Medication initiation or adjustment points for patients with elevated HbA1c.</w:t>
      </w:r>
    </w:p>
    <w:p w14:paraId="7EF3E43B" w14:textId="16C5B376" w:rsidR="00A0554D" w:rsidRPr="00FD2594" w:rsidRDefault="00A0554D" w:rsidP="00711293">
      <w:pPr>
        <w:pStyle w:val="ListParagraph"/>
        <w:numPr>
          <w:ilvl w:val="1"/>
          <w:numId w:val="13"/>
        </w:numPr>
        <w:spacing w:line="278" w:lineRule="auto"/>
      </w:pPr>
      <w:r w:rsidRPr="00FD2594">
        <w:t xml:space="preserve">Perioperative glucose control in </w:t>
      </w:r>
      <w:r w:rsidR="00653E09" w:rsidRPr="00FD2594">
        <w:t>perioperative period to reduce adverse outcomes.</w:t>
      </w:r>
      <w:r w:rsidR="0097359B" w:rsidRPr="00FD2594">
        <w:t xml:space="preserve"> </w:t>
      </w:r>
      <w:r w:rsidR="007770B6" w:rsidRPr="00FD2594">
        <w:t xml:space="preserve">Intra- and post-operative glucose control is critical to preventing postoperative negative outcomes. </w:t>
      </w:r>
    </w:p>
    <w:p w14:paraId="705A8075" w14:textId="77777777" w:rsidR="00711293" w:rsidRDefault="00711293" w:rsidP="00711293">
      <w:pPr>
        <w:pStyle w:val="ListParagraph"/>
        <w:numPr>
          <w:ilvl w:val="1"/>
          <w:numId w:val="13"/>
        </w:numPr>
        <w:spacing w:line="278" w:lineRule="auto"/>
      </w:pPr>
      <w:r>
        <w:t xml:space="preserve">Nutritional support as needed, including referral to registered dietician/nutritionist   </w:t>
      </w:r>
    </w:p>
    <w:p w14:paraId="2D504B81" w14:textId="7A032A1C" w:rsidR="00E31369" w:rsidRDefault="008057A0" w:rsidP="008057A0">
      <w:pPr>
        <w:pStyle w:val="ListParagraph"/>
        <w:numPr>
          <w:ilvl w:val="1"/>
          <w:numId w:val="13"/>
        </w:numPr>
        <w:spacing w:line="278" w:lineRule="auto"/>
      </w:pPr>
      <w:r>
        <w:lastRenderedPageBreak/>
        <w:t>Close f</w:t>
      </w:r>
      <w:r w:rsidR="00711293">
        <w:t>ollow up plan to re-check blood glucose before procedure and threshold by which to consider delaying procedure</w:t>
      </w:r>
    </w:p>
    <w:p w14:paraId="33500313" w14:textId="562F7D8C" w:rsidR="00985871" w:rsidRDefault="5C0C04E1" w:rsidP="00985871">
      <w:pPr>
        <w:pStyle w:val="ListParagraph"/>
        <w:numPr>
          <w:ilvl w:val="1"/>
          <w:numId w:val="13"/>
        </w:numPr>
        <w:spacing w:line="278" w:lineRule="auto"/>
      </w:pPr>
      <w:r>
        <w:t xml:space="preserve">Plan for and schedule close outpatient follow-up for patients with anticipated intraoperative hyperglycemia (e.g., schedule an appointment within 1-week post-operative for patients with </w:t>
      </w:r>
      <w:r w:rsidR="007770B6">
        <w:t>un</w:t>
      </w:r>
      <w:r>
        <w:t>controlled diabetes)</w:t>
      </w:r>
    </w:p>
    <w:p w14:paraId="2E439130" w14:textId="7C7C26E8" w:rsidR="00ED7449" w:rsidRPr="00ED7449" w:rsidRDefault="00ED7449" w:rsidP="00ED7449">
      <w:pPr>
        <w:pStyle w:val="Heading4"/>
      </w:pPr>
      <w:r>
        <w:t>Preoperative Anemia Optimization</w:t>
      </w:r>
    </w:p>
    <w:p w14:paraId="25BF107A" w14:textId="756F1249" w:rsidR="00737ECE" w:rsidRDefault="000B1AAB" w:rsidP="00737ECE">
      <w:pPr>
        <w:pStyle w:val="ListParagraph"/>
      </w:pPr>
      <w:r>
        <w:t>As early as possible in the presurgical process</w:t>
      </w:r>
      <w:r w:rsidR="0090081B">
        <w:t xml:space="preserve"> in anyone being considered for </w:t>
      </w:r>
      <w:r w:rsidR="006A3EA9">
        <w:t>intermediate, moderate, or high risk surgery</w:t>
      </w:r>
      <w:r>
        <w:t xml:space="preserve">, screen for anemia </w:t>
      </w:r>
      <w:r w:rsidR="006A3EA9">
        <w:t>with complete</w:t>
      </w:r>
      <w:r w:rsidR="005C278C">
        <w:t xml:space="preserve"> </w:t>
      </w:r>
      <w:r w:rsidR="006A3EA9">
        <w:t>blood</w:t>
      </w:r>
      <w:r w:rsidR="005C278C">
        <w:t xml:space="preserve"> </w:t>
      </w:r>
      <w:r w:rsidR="006A3EA9">
        <w:t>count</w:t>
      </w:r>
      <w:r>
        <w:t xml:space="preserve">. </w:t>
      </w:r>
    </w:p>
    <w:p w14:paraId="62CBA06B" w14:textId="79C042B0" w:rsidR="00737ECE" w:rsidRDefault="000B1AAB" w:rsidP="45821746">
      <w:pPr>
        <w:pStyle w:val="ListParagraph"/>
        <w:numPr>
          <w:ilvl w:val="0"/>
          <w:numId w:val="33"/>
        </w:numPr>
        <w:ind w:left="720"/>
      </w:pPr>
      <w:r>
        <w:t>For patients with anemia</w:t>
      </w:r>
      <w:r w:rsidR="006A3EA9">
        <w:t xml:space="preserve"> (Hb &lt;13g/dL)</w:t>
      </w:r>
      <w:r>
        <w:t xml:space="preserve">, </w:t>
      </w:r>
      <w:r w:rsidR="00737ECE">
        <w:t>i</w:t>
      </w:r>
      <w:r>
        <w:t>dentify underlying cause of anemia. Assessment should include the following</w:t>
      </w:r>
    </w:p>
    <w:p w14:paraId="1373DCE8" w14:textId="5857D5D0" w:rsidR="00737ECE" w:rsidRDefault="00737ECE" w:rsidP="000B1AAB">
      <w:pPr>
        <w:pStyle w:val="ListParagraph"/>
        <w:numPr>
          <w:ilvl w:val="1"/>
          <w:numId w:val="15"/>
        </w:numPr>
      </w:pPr>
      <w:r>
        <w:t>Reflexively test iron studies.</w:t>
      </w:r>
    </w:p>
    <w:p w14:paraId="5A770F32" w14:textId="526BFA73" w:rsidR="000B1AAB" w:rsidRDefault="000B1AAB" w:rsidP="000B1AAB">
      <w:pPr>
        <w:pStyle w:val="ListParagraph"/>
        <w:numPr>
          <w:ilvl w:val="1"/>
          <w:numId w:val="15"/>
        </w:numPr>
      </w:pPr>
      <w:r>
        <w:t>Comprehensive medical and medication history and physical exam</w:t>
      </w:r>
    </w:p>
    <w:p w14:paraId="152B75BF" w14:textId="3CD52DA3" w:rsidR="000B1AAB" w:rsidRDefault="000B1AAB" w:rsidP="7F394DB4">
      <w:pPr>
        <w:pStyle w:val="ListParagraph"/>
        <w:numPr>
          <w:ilvl w:val="1"/>
          <w:numId w:val="15"/>
        </w:numPr>
        <w:spacing w:after="0" w:line="278" w:lineRule="auto"/>
      </w:pPr>
      <w:r>
        <w:t xml:space="preserve">Order </w:t>
      </w:r>
      <w:r w:rsidR="008F2B39">
        <w:t>other</w:t>
      </w:r>
      <w:r>
        <w:t xml:space="preserve"> lab tests </w:t>
      </w:r>
      <w:r w:rsidR="008F2B39">
        <w:t xml:space="preserve">as indicated </w:t>
      </w:r>
      <w:r>
        <w:t xml:space="preserve">to diagnose underlying cause. Consider the </w:t>
      </w:r>
      <w:r w:rsidR="00665055">
        <w:t xml:space="preserve">algorithm in </w:t>
      </w:r>
      <w:hyperlink w:anchor="_Appendix_H_Evaluation">
        <w:r w:rsidR="00665055" w:rsidRPr="7F394DB4">
          <w:rPr>
            <w:rStyle w:val="Hyperlink"/>
            <w:b/>
            <w:bCs/>
          </w:rPr>
          <w:t xml:space="preserve">Appendix </w:t>
        </w:r>
        <w:r w:rsidR="00F6646A" w:rsidRPr="7F394DB4">
          <w:rPr>
            <w:rStyle w:val="Hyperlink"/>
            <w:b/>
            <w:bCs/>
          </w:rPr>
          <w:t>H</w:t>
        </w:r>
      </w:hyperlink>
      <w:r w:rsidR="00665055">
        <w:t xml:space="preserve"> and other evidence-based resources</w:t>
      </w:r>
      <w:r>
        <w:t xml:space="preserve"> for evaluation of anemia in healthy individuals in outpatient </w:t>
      </w:r>
      <w:proofErr w:type="gramStart"/>
      <w:r>
        <w:t>setting</w:t>
      </w:r>
      <w:proofErr w:type="gramEnd"/>
      <w:r>
        <w:t xml:space="preserve">. Minimize blood </w:t>
      </w:r>
      <w:proofErr w:type="gramStart"/>
      <w:r>
        <w:t>draw</w:t>
      </w:r>
      <w:proofErr w:type="gramEnd"/>
      <w:r>
        <w:t xml:space="preserve"> amount (e.g., </w:t>
      </w:r>
      <w:r w:rsidR="005A43FB">
        <w:t>p</w:t>
      </w:r>
      <w:r>
        <w:t>eds tubes) when able</w:t>
      </w:r>
    </w:p>
    <w:p w14:paraId="3F50D091" w14:textId="670B8EB2" w:rsidR="000B1AAB" w:rsidRDefault="000B1AAB" w:rsidP="7F394DB4">
      <w:pPr>
        <w:pStyle w:val="ListParagraph"/>
        <w:numPr>
          <w:ilvl w:val="0"/>
          <w:numId w:val="15"/>
        </w:numPr>
        <w:spacing w:after="0" w:line="278" w:lineRule="auto"/>
      </w:pPr>
      <w:r>
        <w:t xml:space="preserve">If iron deficiency anemia is suspected, consider further evaluation to determine underlying cause  </w:t>
      </w:r>
    </w:p>
    <w:p w14:paraId="5AE972FB" w14:textId="38D885D1" w:rsidR="002D6091" w:rsidRDefault="002D6091" w:rsidP="7F394DB4">
      <w:pPr>
        <w:pStyle w:val="ListParagraph"/>
        <w:numPr>
          <w:ilvl w:val="1"/>
          <w:numId w:val="15"/>
        </w:numPr>
        <w:spacing w:after="0" w:line="278" w:lineRule="auto"/>
      </w:pPr>
      <w:r>
        <w:t>Blood loss (e.g., gastrointestinal, cancer, gynecological)</w:t>
      </w:r>
    </w:p>
    <w:p w14:paraId="3ED0F098" w14:textId="5937C8A7" w:rsidR="002D6091" w:rsidRDefault="002D6091" w:rsidP="7F394DB4">
      <w:pPr>
        <w:numPr>
          <w:ilvl w:val="1"/>
          <w:numId w:val="15"/>
        </w:numPr>
        <w:spacing w:after="0" w:line="278" w:lineRule="auto"/>
      </w:pPr>
      <w:r>
        <w:t>Autoimmune or chronic disease (e.g. kidney, rheumatoid, etc</w:t>
      </w:r>
      <w:r w:rsidR="422571B5">
        <w:t>.</w:t>
      </w:r>
      <w:r>
        <w:t>)</w:t>
      </w:r>
    </w:p>
    <w:p w14:paraId="3AD578C0" w14:textId="3A3E4FEA" w:rsidR="000B1AAB" w:rsidRDefault="5C0C04E1" w:rsidP="7F394DB4">
      <w:pPr>
        <w:pStyle w:val="ListParagraph"/>
        <w:numPr>
          <w:ilvl w:val="1"/>
          <w:numId w:val="15"/>
        </w:numPr>
        <w:spacing w:after="0" w:line="278" w:lineRule="auto"/>
      </w:pPr>
      <w:r>
        <w:t>Decreased absorption due to gastrointestinal illness (</w:t>
      </w:r>
      <w:r w:rsidR="00D17551">
        <w:t xml:space="preserve">e.g., </w:t>
      </w:r>
      <w:r>
        <w:t>celiac disease, gastrectomy, gastric bypass, resection, H. pylori, inflammatory bowel disease), medications (antacids, proton pump inhibitors, ESAs) or food (calcium, tannins, phytates)</w:t>
      </w:r>
      <w:r w:rsidR="00D17551">
        <w:t>)</w:t>
      </w:r>
    </w:p>
    <w:p w14:paraId="2988BC2F" w14:textId="77777777" w:rsidR="0052269B" w:rsidRDefault="0052269B" w:rsidP="7F394DB4">
      <w:pPr>
        <w:pStyle w:val="ListParagraph"/>
        <w:numPr>
          <w:ilvl w:val="1"/>
          <w:numId w:val="15"/>
        </w:numPr>
        <w:spacing w:after="0" w:line="278" w:lineRule="auto"/>
      </w:pPr>
      <w:r>
        <w:t>Pregnancy</w:t>
      </w:r>
    </w:p>
    <w:p w14:paraId="03A8D8B8" w14:textId="678D4E8C" w:rsidR="002D6091" w:rsidRDefault="0052269B" w:rsidP="7F394DB4">
      <w:pPr>
        <w:pStyle w:val="ListParagraph"/>
        <w:numPr>
          <w:ilvl w:val="1"/>
          <w:numId w:val="15"/>
        </w:numPr>
        <w:spacing w:after="0" w:line="278" w:lineRule="auto"/>
      </w:pPr>
      <w:r>
        <w:t>Iron-poor diet</w:t>
      </w:r>
    </w:p>
    <w:p w14:paraId="0D1B4209" w14:textId="5F8B4562" w:rsidR="000B1AAB" w:rsidRDefault="000B1AAB" w:rsidP="7F394DB4">
      <w:pPr>
        <w:numPr>
          <w:ilvl w:val="0"/>
          <w:numId w:val="15"/>
        </w:numPr>
        <w:spacing w:after="0" w:line="278" w:lineRule="auto"/>
      </w:pPr>
      <w:r>
        <w:t xml:space="preserve">Discuss and determine goals of treatment for anemia with the patient, </w:t>
      </w:r>
      <w:r w:rsidR="000D7045">
        <w:t>including</w:t>
      </w:r>
      <w:r>
        <w:t xml:space="preserve"> likely </w:t>
      </w:r>
      <w:r w:rsidR="000D7045">
        <w:t xml:space="preserve">time course needed for treatments (4-6 weeks or more), </w:t>
      </w:r>
      <w:r w:rsidR="0099630C">
        <w:t xml:space="preserve">including </w:t>
      </w:r>
      <w:r>
        <w:t xml:space="preserve">cause of anemia and individual patient factors and circumstances. </w:t>
      </w:r>
    </w:p>
    <w:p w14:paraId="69C108EB" w14:textId="5B4353A2" w:rsidR="000B1AAB" w:rsidRDefault="000B1AAB" w:rsidP="7F394DB4">
      <w:pPr>
        <w:pStyle w:val="ListParagraph"/>
        <w:numPr>
          <w:ilvl w:val="0"/>
          <w:numId w:val="15"/>
        </w:numPr>
        <w:spacing w:after="0" w:line="278" w:lineRule="auto"/>
      </w:pPr>
      <w:r>
        <w:t>Treat anemia</w:t>
      </w:r>
      <w:r w:rsidR="00E129A8">
        <w:t xml:space="preserve"> to optimize prior to surgery (</w:t>
      </w:r>
      <w:r w:rsidR="005B58C9">
        <w:t xml:space="preserve">ideal </w:t>
      </w:r>
      <w:r w:rsidR="00E129A8">
        <w:t xml:space="preserve">goal = </w:t>
      </w:r>
      <w:r w:rsidR="00D60CD6">
        <w:t>H</w:t>
      </w:r>
      <w:r w:rsidR="006B27C5">
        <w:t>b</w:t>
      </w:r>
      <w:r w:rsidR="00D60CD6">
        <w:t xml:space="preserve"> &gt; 12 g/dL</w:t>
      </w:r>
      <w:r w:rsidR="0097583E">
        <w:t>)</w:t>
      </w:r>
      <w:r>
        <w:t xml:space="preserve"> </w:t>
      </w:r>
    </w:p>
    <w:p w14:paraId="059036D0" w14:textId="36EAC416" w:rsidR="000C2D3C" w:rsidRDefault="000C2D3C" w:rsidP="7F394DB4">
      <w:pPr>
        <w:pStyle w:val="ListParagraph"/>
        <w:numPr>
          <w:ilvl w:val="1"/>
          <w:numId w:val="15"/>
        </w:numPr>
        <w:spacing w:after="0" w:line="278" w:lineRule="auto"/>
      </w:pPr>
      <w:r>
        <w:t xml:space="preserve">For those with </w:t>
      </w:r>
      <w:r w:rsidR="00726F6E">
        <w:t xml:space="preserve">identified </w:t>
      </w:r>
      <w:proofErr w:type="gramStart"/>
      <w:r w:rsidR="00726F6E">
        <w:t>cause</w:t>
      </w:r>
      <w:proofErr w:type="gramEnd"/>
      <w:r w:rsidR="00726F6E">
        <w:t xml:space="preserve"> of anemia, treat the underlying cause </w:t>
      </w:r>
    </w:p>
    <w:p w14:paraId="09D60394" w14:textId="10BC50C4" w:rsidR="004713DF" w:rsidRDefault="000B1AAB" w:rsidP="45821746">
      <w:pPr>
        <w:pStyle w:val="ListParagraph"/>
        <w:numPr>
          <w:ilvl w:val="1"/>
          <w:numId w:val="15"/>
        </w:numPr>
      </w:pPr>
      <w:r>
        <w:t xml:space="preserve">For patients with </w:t>
      </w:r>
      <w:r w:rsidR="00726F6E">
        <w:t xml:space="preserve">isolated </w:t>
      </w:r>
      <w:r>
        <w:t>iron deficiency anemia, supplement with iron formulation</w:t>
      </w:r>
      <w:r w:rsidR="00EF1C7B">
        <w:t xml:space="preserve"> unless contraindicated</w:t>
      </w:r>
      <w:r>
        <w:t xml:space="preserve">. </w:t>
      </w:r>
      <w:r w:rsidR="004713DF">
        <w:t xml:space="preserve">Consult pharmacy as able to support selecting iron supplementation methods that meet hemoglobin/iron goals, cost and timeline limitations. </w:t>
      </w:r>
    </w:p>
    <w:p w14:paraId="754FCF76" w14:textId="340C0A1B" w:rsidR="003A3E83" w:rsidRDefault="003A3E83" w:rsidP="45821746">
      <w:pPr>
        <w:pStyle w:val="ListParagraph"/>
        <w:numPr>
          <w:ilvl w:val="2"/>
          <w:numId w:val="15"/>
        </w:numPr>
      </w:pPr>
      <w:r>
        <w:t>If 8+ weeks until surgery, can consider oral iron therapy</w:t>
      </w:r>
    </w:p>
    <w:p w14:paraId="2D80124E" w14:textId="362418B4" w:rsidR="000B1AAB" w:rsidRDefault="000B1AAB" w:rsidP="45821746">
      <w:pPr>
        <w:pStyle w:val="ListParagraph"/>
        <w:numPr>
          <w:ilvl w:val="2"/>
          <w:numId w:val="15"/>
        </w:numPr>
      </w:pPr>
      <w:r>
        <w:lastRenderedPageBreak/>
        <w:t xml:space="preserve">IV supplementation </w:t>
      </w:r>
      <w:r w:rsidR="00865E7B">
        <w:t>is recommended</w:t>
      </w:r>
      <w:r>
        <w:t xml:space="preserve"> in patients with &lt;</w:t>
      </w:r>
      <w:r w:rsidR="00865E7B">
        <w:t>8</w:t>
      </w:r>
      <w:r>
        <w:t xml:space="preserve"> weeks until surgery, oral iron is not effective or tolerated, or with severe anemia (Hb &lt;10g/dL) </w:t>
      </w:r>
    </w:p>
    <w:p w14:paraId="5ADED5AF" w14:textId="643EFABA" w:rsidR="003A3E83" w:rsidRDefault="000B1AAB" w:rsidP="45821746">
      <w:pPr>
        <w:pStyle w:val="ListParagraph"/>
        <w:numPr>
          <w:ilvl w:val="2"/>
          <w:numId w:val="15"/>
        </w:numPr>
      </w:pPr>
      <w:r>
        <w:t xml:space="preserve">Consider </w:t>
      </w:r>
      <w:r w:rsidR="003A3E83">
        <w:t xml:space="preserve">addition of </w:t>
      </w:r>
      <w:r>
        <w:t xml:space="preserve">erythropoietin stimulating agents </w:t>
      </w:r>
    </w:p>
    <w:p w14:paraId="10E5AF9C" w14:textId="7DAFF6F6" w:rsidR="003A3E83" w:rsidRPr="003A3E83" w:rsidRDefault="003A3E83" w:rsidP="45821746">
      <w:pPr>
        <w:pStyle w:val="ListParagraph"/>
        <w:numPr>
          <w:ilvl w:val="3"/>
          <w:numId w:val="15"/>
        </w:numPr>
        <w:rPr>
          <w:i/>
          <w:iCs/>
        </w:rPr>
      </w:pPr>
      <w:r>
        <w:t>I</w:t>
      </w:r>
      <w:r w:rsidR="000B1AAB">
        <w:t>n patients with anemia of inflammation (e.g., kidney disease</w:t>
      </w:r>
      <w:r>
        <w:t>, autoimmune disease</w:t>
      </w:r>
      <w:r w:rsidR="000B1AAB">
        <w:t xml:space="preserve">) </w:t>
      </w:r>
    </w:p>
    <w:p w14:paraId="254AF6F4" w14:textId="4B127B6B" w:rsidR="000B1AAB" w:rsidRDefault="003A3E83" w:rsidP="45821746">
      <w:pPr>
        <w:pStyle w:val="ListParagraph"/>
        <w:numPr>
          <w:ilvl w:val="3"/>
          <w:numId w:val="15"/>
        </w:numPr>
      </w:pPr>
      <w:r>
        <w:t>T</w:t>
      </w:r>
      <w:r w:rsidR="000B1AAB">
        <w:t>hose who cannot accept transfusions</w:t>
      </w:r>
    </w:p>
    <w:p w14:paraId="06380E9B" w14:textId="320A41F7" w:rsidR="003A3E83" w:rsidRPr="003A3E83" w:rsidRDefault="00205158" w:rsidP="45821746">
      <w:pPr>
        <w:pStyle w:val="ListParagraph"/>
        <w:numPr>
          <w:ilvl w:val="3"/>
          <w:numId w:val="15"/>
        </w:numPr>
      </w:pPr>
      <w:r>
        <w:t>Those with severe anemia with urgent surgery needing more rapid response</w:t>
      </w:r>
    </w:p>
    <w:p w14:paraId="78C8FBCB" w14:textId="77777777" w:rsidR="00E74233" w:rsidRDefault="00E74233" w:rsidP="00E74233">
      <w:pPr>
        <w:pStyle w:val="ListParagraph"/>
        <w:numPr>
          <w:ilvl w:val="0"/>
          <w:numId w:val="15"/>
        </w:numPr>
      </w:pPr>
      <w:r>
        <w:t xml:space="preserve">Communicate anemia optimization plan with the surgical team, including relevant lab values, underlying cause as identified, and treatment goals and plan. </w:t>
      </w:r>
    </w:p>
    <w:p w14:paraId="6D152CEA" w14:textId="180774A1" w:rsidR="00D75EBE" w:rsidDel="00205158" w:rsidRDefault="00F132AE" w:rsidP="000B1AAB">
      <w:pPr>
        <w:pStyle w:val="ListParagraph"/>
        <w:numPr>
          <w:ilvl w:val="0"/>
          <w:numId w:val="15"/>
        </w:numPr>
      </w:pPr>
      <w:r>
        <w:t xml:space="preserve">Reassess </w:t>
      </w:r>
      <w:r w:rsidR="003547B8">
        <w:t xml:space="preserve">anemia status </w:t>
      </w:r>
      <w:r w:rsidR="002E5F1C">
        <w:t>2-</w:t>
      </w:r>
      <w:r w:rsidR="00834AFF">
        <w:t xml:space="preserve">4 weeks </w:t>
      </w:r>
      <w:r w:rsidR="002E5F1C">
        <w:t xml:space="preserve">after </w:t>
      </w:r>
      <w:r w:rsidR="00D75EBE">
        <w:t>treatment</w:t>
      </w:r>
      <w:r w:rsidR="002E5F1C">
        <w:t xml:space="preserve"> initiation</w:t>
      </w:r>
      <w:r w:rsidR="00D60CD6">
        <w:t xml:space="preserve"> (target = H</w:t>
      </w:r>
      <w:r w:rsidR="006B27C5">
        <w:t>b</w:t>
      </w:r>
      <w:r w:rsidR="00D60CD6">
        <w:t xml:space="preserve"> &gt; 12 g/dL)</w:t>
      </w:r>
      <w:r w:rsidR="00977170">
        <w:t xml:space="preserve"> and minimum of 2 weeks prior to surgery (if already scheduled)</w:t>
      </w:r>
    </w:p>
    <w:p w14:paraId="7AFA4BD8" w14:textId="5AC8AD21" w:rsidR="000B1AAB" w:rsidRDefault="000B1AAB" w:rsidP="45821746">
      <w:pPr>
        <w:pStyle w:val="ListParagraph"/>
        <w:numPr>
          <w:ilvl w:val="1"/>
          <w:numId w:val="15"/>
        </w:numPr>
      </w:pPr>
      <w:r>
        <w:t xml:space="preserve">Complete repeat lab testing to assess response to treatment (CBC, iron studies, etc.) </w:t>
      </w:r>
    </w:p>
    <w:p w14:paraId="557B3159" w14:textId="77777777" w:rsidR="00E74233" w:rsidRDefault="00E74233" w:rsidP="45821746">
      <w:pPr>
        <w:pStyle w:val="ListParagraph"/>
        <w:numPr>
          <w:ilvl w:val="2"/>
          <w:numId w:val="15"/>
        </w:numPr>
      </w:pPr>
      <w:r>
        <w:t>If response is adequate, proceed to surgery</w:t>
      </w:r>
    </w:p>
    <w:p w14:paraId="1839B5C1" w14:textId="0F4F1257" w:rsidR="00E74233" w:rsidRDefault="00E74233" w:rsidP="45821746">
      <w:pPr>
        <w:pStyle w:val="ListParagraph"/>
        <w:numPr>
          <w:ilvl w:val="2"/>
          <w:numId w:val="15"/>
        </w:numPr>
      </w:pPr>
      <w:r>
        <w:t>If response is inadequate</w:t>
      </w:r>
      <w:r w:rsidR="00EB562F">
        <w:t xml:space="preserve"> (Hb &lt;12 g/dL)</w:t>
      </w:r>
    </w:p>
    <w:p w14:paraId="79A06B36" w14:textId="705CBB15" w:rsidR="00E74233" w:rsidRDefault="00D60CD6" w:rsidP="45821746">
      <w:pPr>
        <w:pStyle w:val="ListParagraph"/>
        <w:numPr>
          <w:ilvl w:val="3"/>
          <w:numId w:val="15"/>
        </w:numPr>
      </w:pPr>
      <w:r>
        <w:t xml:space="preserve">Consider changing formulation (oral </w:t>
      </w:r>
      <w:r w:rsidRPr="45821746">
        <w:rPr>
          <w:rFonts w:ascii="Wingdings" w:eastAsia="Wingdings" w:hAnsi="Wingdings" w:cs="Wingdings"/>
        </w:rPr>
        <w:t>à</w:t>
      </w:r>
      <w:r>
        <w:t xml:space="preserve"> iv) or adding ESA if response is inadequate </w:t>
      </w:r>
    </w:p>
    <w:p w14:paraId="675A821C" w14:textId="77777777" w:rsidR="00E74233" w:rsidRDefault="00A76D91" w:rsidP="7F394DB4">
      <w:pPr>
        <w:pStyle w:val="ListParagraph"/>
        <w:numPr>
          <w:ilvl w:val="3"/>
          <w:numId w:val="15"/>
        </w:numPr>
        <w:spacing w:after="0" w:line="278" w:lineRule="auto"/>
      </w:pPr>
      <w:r>
        <w:t xml:space="preserve">For urgent surgery, discussing risks and benefits of further evaluation and timing of determining underlying cause of anemia during the preoperative period. </w:t>
      </w:r>
    </w:p>
    <w:p w14:paraId="659C6F68" w14:textId="100D5C74" w:rsidR="00A76D91" w:rsidRDefault="00A76D91" w:rsidP="7F394DB4">
      <w:pPr>
        <w:pStyle w:val="ListParagraph"/>
        <w:numPr>
          <w:ilvl w:val="3"/>
          <w:numId w:val="15"/>
        </w:numPr>
        <w:spacing w:after="0" w:line="278" w:lineRule="auto"/>
      </w:pPr>
      <w:r>
        <w:t>For elective surgery</w:t>
      </w:r>
      <w:r w:rsidR="007D3806">
        <w:t xml:space="preserve"> with moderate or high risk of blood loss</w:t>
      </w:r>
      <w:r>
        <w:t xml:space="preserve">, </w:t>
      </w:r>
      <w:r w:rsidR="007D3806">
        <w:t xml:space="preserve">recommend </w:t>
      </w:r>
      <w:r>
        <w:t xml:space="preserve">delaying surgery to </w:t>
      </w:r>
      <w:r w:rsidR="003C2706">
        <w:t xml:space="preserve">further </w:t>
      </w:r>
      <w:r>
        <w:t xml:space="preserve">optimize anemia status. </w:t>
      </w:r>
    </w:p>
    <w:p w14:paraId="02E0880F" w14:textId="3E548D5C" w:rsidR="000B1AAB" w:rsidRDefault="000B1AAB" w:rsidP="7F394DB4">
      <w:pPr>
        <w:numPr>
          <w:ilvl w:val="0"/>
          <w:numId w:val="15"/>
        </w:numPr>
        <w:spacing w:after="0" w:line="278" w:lineRule="auto"/>
      </w:pPr>
      <w:r>
        <w:t xml:space="preserve">Refer as needed to continue treatment for anemia after procedure complete. </w:t>
      </w:r>
    </w:p>
    <w:p w14:paraId="7AD06962" w14:textId="77777777" w:rsidR="000B1AAB" w:rsidRDefault="000B1AAB" w:rsidP="7F394DB4">
      <w:pPr>
        <w:pStyle w:val="ListParagraph"/>
        <w:numPr>
          <w:ilvl w:val="0"/>
          <w:numId w:val="15"/>
        </w:numPr>
        <w:spacing w:after="0" w:line="278" w:lineRule="auto"/>
      </w:pPr>
      <w:r>
        <w:t>Special considerations for patients that cannot receive blood products:</w:t>
      </w:r>
    </w:p>
    <w:p w14:paraId="2867CED0" w14:textId="77777777" w:rsidR="000B1AAB" w:rsidRDefault="000B1AAB" w:rsidP="000B1AAB">
      <w:pPr>
        <w:pStyle w:val="ListParagraph"/>
        <w:numPr>
          <w:ilvl w:val="1"/>
          <w:numId w:val="15"/>
        </w:numPr>
      </w:pPr>
      <w:r>
        <w:t>Take a full medical history including history of anemia, abnormal bleeding, coexisting conditions, medical/surgical history, and current medications that could impact hemostasis</w:t>
      </w:r>
    </w:p>
    <w:p w14:paraId="3175D5DC" w14:textId="2DD33581" w:rsidR="000B1AAB" w:rsidRDefault="5C0C04E1" w:rsidP="5C0C04E1">
      <w:pPr>
        <w:pStyle w:val="ListParagraph"/>
        <w:numPr>
          <w:ilvl w:val="1"/>
          <w:numId w:val="15"/>
        </w:numPr>
      </w:pPr>
      <w:r>
        <w:t>Consider discontinuation of medications that could induce coagulopathies (e.g., analgesics like NSAIDS, antibiotics</w:t>
      </w:r>
      <w:r w:rsidRPr="000501B4">
        <w:t xml:space="preserve"> like beta-lactams</w:t>
      </w:r>
      <w:r>
        <w:t>)</w:t>
      </w:r>
      <w:r w:rsidR="003663AA">
        <w:rPr>
          <w:rFonts w:ascii="ZWAdobeF" w:hAnsi="ZWAdobeF" w:cs="ZWAdobeF"/>
          <w:sz w:val="2"/>
          <w:szCs w:val="2"/>
        </w:rPr>
        <w:t>8F</w:t>
      </w:r>
      <w:r w:rsidR="00B114AC">
        <w:rPr>
          <w:rStyle w:val="EndnoteReference"/>
        </w:rPr>
        <w:endnoteReference w:id="13"/>
      </w:r>
      <w:r>
        <w:t>, anticoagulants and review other medications or supplements that impact coagulations/platelet function</w:t>
      </w:r>
    </w:p>
    <w:p w14:paraId="109A19AA" w14:textId="77777777" w:rsidR="000B1AAB" w:rsidRDefault="000B1AAB" w:rsidP="000B1AAB">
      <w:pPr>
        <w:pStyle w:val="ListParagraph"/>
        <w:numPr>
          <w:ilvl w:val="1"/>
          <w:numId w:val="15"/>
        </w:numPr>
      </w:pPr>
      <w:r>
        <w:t xml:space="preserve">Take steps to optimize preoperative red blood cell production, such as administering supplementary iron (even with normal iron stores) or using </w:t>
      </w:r>
      <w:r>
        <w:lastRenderedPageBreak/>
        <w:t>r-</w:t>
      </w:r>
      <w:proofErr w:type="spellStart"/>
      <w:r>
        <w:t>HuEPO</w:t>
      </w:r>
      <w:proofErr w:type="spellEnd"/>
      <w:r>
        <w:t xml:space="preserve"> to increase slightly low hematocrit before anticipated major blood loss or for patients with ischemic heart disease</w:t>
      </w:r>
    </w:p>
    <w:p w14:paraId="02D73FD7" w14:textId="77777777" w:rsidR="000B1AAB" w:rsidRDefault="000B1AAB" w:rsidP="000B1AAB">
      <w:pPr>
        <w:pStyle w:val="ListParagraph"/>
        <w:numPr>
          <w:ilvl w:val="1"/>
          <w:numId w:val="15"/>
        </w:numPr>
      </w:pPr>
      <w:r>
        <w:t xml:space="preserve">Consider higher hemoglobin level goals for preoperative management (e.g., Hb 13-14g/dL) </w:t>
      </w:r>
    </w:p>
    <w:p w14:paraId="16B8CD9C" w14:textId="2CEC18FC" w:rsidR="000B1AAB" w:rsidRDefault="000B1AAB" w:rsidP="000B1AAB">
      <w:pPr>
        <w:pStyle w:val="ListParagraph"/>
        <w:numPr>
          <w:ilvl w:val="1"/>
          <w:numId w:val="15"/>
        </w:numPr>
      </w:pPr>
      <w:r>
        <w:t xml:space="preserve">Determine with </w:t>
      </w:r>
      <w:proofErr w:type="gramStart"/>
      <w:r>
        <w:t>patient</w:t>
      </w:r>
      <w:proofErr w:type="gramEnd"/>
      <w:r>
        <w:t xml:space="preserve"> what blood products are acceptable</w:t>
      </w:r>
      <w:r w:rsidR="006047EA">
        <w:t xml:space="preserve"> or </w:t>
      </w:r>
      <w:r>
        <w:t xml:space="preserve">unacceptable. Clearly identify them in the medical record. </w:t>
      </w:r>
    </w:p>
    <w:p w14:paraId="4AB49D7C" w14:textId="77777777" w:rsidR="000B1AAB" w:rsidRDefault="000B1AAB" w:rsidP="000B1AAB">
      <w:pPr>
        <w:pStyle w:val="ListParagraph"/>
        <w:numPr>
          <w:ilvl w:val="1"/>
          <w:numId w:val="15"/>
        </w:numPr>
      </w:pPr>
      <w:r>
        <w:t>For patients that cannot accept blood products</w:t>
      </w:r>
    </w:p>
    <w:p w14:paraId="0E0A774A" w14:textId="42999C03" w:rsidR="000B1AAB" w:rsidRDefault="000B1AAB" w:rsidP="000B1AAB">
      <w:pPr>
        <w:pStyle w:val="ListParagraph"/>
        <w:numPr>
          <w:ilvl w:val="2"/>
          <w:numId w:val="15"/>
        </w:numPr>
      </w:pPr>
      <w:r>
        <w:t xml:space="preserve">Follow </w:t>
      </w:r>
      <w:r w:rsidR="008B24D9">
        <w:t>e</w:t>
      </w:r>
      <w:r>
        <w:t xml:space="preserve">vidence-informed guidelines for anemia optimization in patients that cannot accept blood products, such as: </w:t>
      </w:r>
      <w:r w:rsidRPr="7F394DB4">
        <w:rPr>
          <w:b/>
          <w:bCs/>
        </w:rPr>
        <w:t>Clinical Strategies for Avoiding and Controlling Hemorrhage and Anemia without Blood Transfusion in Surgical Patients</w:t>
      </w:r>
      <w:r>
        <w:t xml:space="preserve"> or more updated</w:t>
      </w:r>
      <w:r w:rsidR="00F6646A">
        <w:t xml:space="preserve">. Resources can be found </w:t>
      </w:r>
      <w:hyperlink r:id="rId24">
        <w:r w:rsidR="00F6646A" w:rsidRPr="7F394DB4">
          <w:rPr>
            <w:rStyle w:val="Hyperlink"/>
          </w:rPr>
          <w:t>here</w:t>
        </w:r>
      </w:hyperlink>
      <w:r w:rsidR="00F6646A">
        <w:t xml:space="preserve">. </w:t>
      </w:r>
    </w:p>
    <w:p w14:paraId="2E829E07" w14:textId="77777777" w:rsidR="00D0602B" w:rsidRDefault="00D0602B">
      <w:pPr>
        <w:rPr>
          <w:rFonts w:asciiTheme="majorHAnsi" w:eastAsiaTheme="majorEastAsia" w:hAnsiTheme="majorHAnsi" w:cstheme="majorBidi"/>
          <w:color w:val="0F4761" w:themeColor="accent1" w:themeShade="BF"/>
          <w:sz w:val="32"/>
          <w:szCs w:val="32"/>
        </w:rPr>
      </w:pPr>
      <w:bookmarkStart w:id="21" w:name="_Toc206580466"/>
      <w:r>
        <w:rPr>
          <w:sz w:val="32"/>
          <w:szCs w:val="32"/>
        </w:rPr>
        <w:br w:type="page"/>
      </w:r>
    </w:p>
    <w:p w14:paraId="6F351F2F" w14:textId="568B066E" w:rsidR="00C00C0C" w:rsidRPr="00D0602B" w:rsidRDefault="00C00C0C" w:rsidP="00C00C0C">
      <w:pPr>
        <w:pStyle w:val="Heading2"/>
        <w:rPr>
          <w:sz w:val="32"/>
          <w:szCs w:val="32"/>
        </w:rPr>
      </w:pPr>
      <w:bookmarkStart w:id="22" w:name="_Toc212542280"/>
      <w:commentRangeStart w:id="23"/>
      <w:r w:rsidRPr="00D0602B">
        <w:rPr>
          <w:sz w:val="32"/>
          <w:szCs w:val="32"/>
        </w:rPr>
        <w:lastRenderedPageBreak/>
        <w:t>Surgery Team</w:t>
      </w:r>
      <w:bookmarkEnd w:id="21"/>
      <w:commentRangeEnd w:id="23"/>
      <w:r w:rsidR="00D0602B">
        <w:rPr>
          <w:rStyle w:val="CommentReference"/>
          <w:rFonts w:asciiTheme="minorHAnsi" w:eastAsiaTheme="minorHAnsi" w:hAnsiTheme="minorHAnsi" w:cstheme="minorBidi"/>
          <w:color w:val="auto"/>
          <w:kern w:val="2"/>
          <w:lang w:eastAsia="en-US"/>
          <w14:ligatures w14:val="standardContextual"/>
        </w:rPr>
        <w:commentReference w:id="23"/>
      </w:r>
      <w:bookmarkEnd w:id="22"/>
    </w:p>
    <w:p w14:paraId="53B346CA" w14:textId="02B8796E" w:rsidR="009C3876" w:rsidRDefault="009C3876" w:rsidP="009C3876">
      <w:pPr>
        <w:pStyle w:val="Heading4"/>
      </w:pPr>
      <w:r>
        <w:t>Perioperative Glycemic Control</w:t>
      </w:r>
    </w:p>
    <w:p w14:paraId="46C6AA3B" w14:textId="7809281F" w:rsidR="00B61E8A" w:rsidRDefault="00B61E8A" w:rsidP="009C3876">
      <w:pPr>
        <w:pStyle w:val="ListParagraph"/>
        <w:numPr>
          <w:ilvl w:val="0"/>
          <w:numId w:val="6"/>
        </w:numPr>
        <w:spacing w:line="278" w:lineRule="auto"/>
      </w:pPr>
      <w:r>
        <w:t>Preoperative</w:t>
      </w:r>
    </w:p>
    <w:p w14:paraId="34450E47" w14:textId="77777777" w:rsidR="0056198B" w:rsidRDefault="00C42D5F" w:rsidP="00C42D5F">
      <w:pPr>
        <w:pStyle w:val="ListParagraph"/>
        <w:numPr>
          <w:ilvl w:val="1"/>
          <w:numId w:val="6"/>
        </w:numPr>
        <w:spacing w:line="278" w:lineRule="auto"/>
        <w:rPr>
          <w:color w:val="EE0000"/>
        </w:rPr>
      </w:pPr>
      <w:r>
        <w:rPr>
          <w:color w:val="EE0000"/>
        </w:rPr>
        <w:t xml:space="preserve">Determine if the patient has an established primary care provider. </w:t>
      </w:r>
    </w:p>
    <w:p w14:paraId="6BCA8B16" w14:textId="08D10FDC" w:rsidR="0056198B" w:rsidRDefault="00C42D5F" w:rsidP="0056198B">
      <w:pPr>
        <w:pStyle w:val="ListParagraph"/>
        <w:numPr>
          <w:ilvl w:val="2"/>
          <w:numId w:val="6"/>
        </w:numPr>
        <w:spacing w:line="278" w:lineRule="auto"/>
        <w:rPr>
          <w:color w:val="EE0000"/>
        </w:rPr>
      </w:pPr>
      <w:r>
        <w:rPr>
          <w:color w:val="EE0000"/>
        </w:rPr>
        <w:t xml:space="preserve">If they do not, surgery teams should take ownership of preoperative </w:t>
      </w:r>
      <w:proofErr w:type="gramStart"/>
      <w:r>
        <w:rPr>
          <w:color w:val="EE0000"/>
        </w:rPr>
        <w:t>optimization, and</w:t>
      </w:r>
      <w:proofErr w:type="gramEnd"/>
      <w:r>
        <w:rPr>
          <w:color w:val="EE0000"/>
        </w:rPr>
        <w:t xml:space="preserve"> review </w:t>
      </w:r>
      <w:hyperlink w:anchor="_Preoperative_Clinicians_(e.g.," w:history="1">
        <w:r w:rsidRPr="003F4A07">
          <w:rPr>
            <w:rStyle w:val="Hyperlink"/>
          </w:rPr>
          <w:t xml:space="preserve">Preoperative </w:t>
        </w:r>
        <w:r w:rsidR="003F4A07" w:rsidRPr="003F4A07">
          <w:rPr>
            <w:rStyle w:val="Hyperlink"/>
          </w:rPr>
          <w:t>Clinicians</w:t>
        </w:r>
      </w:hyperlink>
      <w:r>
        <w:rPr>
          <w:color w:val="EE0000"/>
        </w:rPr>
        <w:t xml:space="preserve"> guideline</w:t>
      </w:r>
      <w:r w:rsidR="0056198B">
        <w:rPr>
          <w:color w:val="EE0000"/>
        </w:rPr>
        <w:t>s</w:t>
      </w:r>
      <w:r w:rsidR="003F4A07">
        <w:rPr>
          <w:color w:val="EE0000"/>
        </w:rPr>
        <w:t>.</w:t>
      </w:r>
    </w:p>
    <w:p w14:paraId="6C2E4627" w14:textId="0B5FC64A" w:rsidR="0056198B" w:rsidRDefault="0056198B" w:rsidP="0056198B">
      <w:pPr>
        <w:pStyle w:val="ListParagraph"/>
        <w:numPr>
          <w:ilvl w:val="3"/>
          <w:numId w:val="6"/>
        </w:numPr>
        <w:spacing w:line="278" w:lineRule="auto"/>
        <w:rPr>
          <w:color w:val="EE0000"/>
        </w:rPr>
      </w:pPr>
      <w:r>
        <w:rPr>
          <w:color w:val="EE0000"/>
        </w:rPr>
        <w:t>If patient needs glycemic control optimization, refer to dietician/nutritionist, Diabetes Prevention Program, recheck HbA1c before surgery</w:t>
      </w:r>
    </w:p>
    <w:p w14:paraId="5907287D" w14:textId="70033C6D" w:rsidR="0056198B" w:rsidRPr="0056198B" w:rsidRDefault="0056198B" w:rsidP="0056198B">
      <w:pPr>
        <w:pStyle w:val="ListParagraph"/>
        <w:numPr>
          <w:ilvl w:val="3"/>
          <w:numId w:val="6"/>
        </w:numPr>
        <w:spacing w:line="278" w:lineRule="auto"/>
        <w:rPr>
          <w:color w:val="EE0000"/>
        </w:rPr>
      </w:pPr>
      <w:r>
        <w:rPr>
          <w:color w:val="EE0000"/>
        </w:rPr>
        <w:t xml:space="preserve">If patient has anemia, evaluate to determine underlying cause and provide intravenous iron infusion for those with iron deficiency anemia; recheck Hb before surgery </w:t>
      </w:r>
    </w:p>
    <w:p w14:paraId="6C22CACA" w14:textId="0458FECA" w:rsidR="00C42D5F" w:rsidRDefault="00C42D5F" w:rsidP="00C42D5F">
      <w:pPr>
        <w:pStyle w:val="ListParagraph"/>
        <w:numPr>
          <w:ilvl w:val="1"/>
          <w:numId w:val="6"/>
        </w:numPr>
        <w:spacing w:line="278" w:lineRule="auto"/>
      </w:pPr>
      <w:r w:rsidRPr="000B3F4D">
        <w:rPr>
          <w:color w:val="EE0000"/>
        </w:rPr>
        <w:t>Screen all patients for diabetes</w:t>
      </w:r>
    </w:p>
    <w:p w14:paraId="69FFF17E" w14:textId="63E1E533" w:rsidR="00B61E8A" w:rsidRDefault="00B61E8A" w:rsidP="00B61E8A">
      <w:pPr>
        <w:pStyle w:val="ListParagraph"/>
        <w:numPr>
          <w:ilvl w:val="1"/>
          <w:numId w:val="6"/>
        </w:numPr>
        <w:spacing w:line="278" w:lineRule="auto"/>
      </w:pPr>
      <w:r>
        <w:t>Plan for</w:t>
      </w:r>
      <w:r w:rsidR="00773C4D">
        <w:t xml:space="preserve"> day of surgery steps to check and control blood glucose</w:t>
      </w:r>
    </w:p>
    <w:p w14:paraId="6E4AD5F8" w14:textId="51C9D578" w:rsidR="00372234" w:rsidRPr="003F4A07" w:rsidRDefault="00372234" w:rsidP="00B61E8A">
      <w:pPr>
        <w:pStyle w:val="ListParagraph"/>
        <w:numPr>
          <w:ilvl w:val="1"/>
          <w:numId w:val="6"/>
        </w:numPr>
        <w:spacing w:line="278" w:lineRule="auto"/>
        <w:rPr>
          <w:strike/>
          <w:color w:val="EE0000"/>
        </w:rPr>
      </w:pPr>
      <w:r>
        <w:t xml:space="preserve">Consider consulting with hospital specialized diabetes or glucose management team </w:t>
      </w:r>
      <w:r w:rsidR="003F4A07" w:rsidRPr="003F4A07">
        <w:rPr>
          <w:color w:val="EE0000"/>
        </w:rPr>
        <w:t xml:space="preserve">for all, </w:t>
      </w:r>
      <w:r>
        <w:t>as available</w:t>
      </w:r>
      <w:r w:rsidRPr="003F4A07">
        <w:rPr>
          <w:strike/>
          <w:color w:val="EE0000"/>
        </w:rPr>
        <w:t xml:space="preserve">, including for those experiencing </w:t>
      </w:r>
      <w:proofErr w:type="gramStart"/>
      <w:r w:rsidRPr="003F4A07">
        <w:rPr>
          <w:strike/>
          <w:color w:val="EE0000"/>
        </w:rPr>
        <w:t>stress hyperglycemia</w:t>
      </w:r>
      <w:proofErr w:type="gramEnd"/>
      <w:r w:rsidR="006606B7" w:rsidRPr="003F4A07">
        <w:rPr>
          <w:strike/>
          <w:color w:val="EE0000"/>
        </w:rPr>
        <w:t>.</w:t>
      </w:r>
    </w:p>
    <w:p w14:paraId="7E5C9966" w14:textId="1833F824" w:rsidR="00DC056A" w:rsidRDefault="00DC056A" w:rsidP="00B61E8A">
      <w:pPr>
        <w:pStyle w:val="ListParagraph"/>
        <w:numPr>
          <w:ilvl w:val="1"/>
          <w:numId w:val="6"/>
        </w:numPr>
        <w:spacing w:line="278" w:lineRule="auto"/>
      </w:pPr>
      <w:r>
        <w:t xml:space="preserve">If not done previously, screen for </w:t>
      </w:r>
      <w:r w:rsidR="00B413F5">
        <w:t>health-related social needs</w:t>
      </w:r>
      <w:r w:rsidR="004A7B7B">
        <w:t xml:space="preserve">, including food insecurity. Refer to </w:t>
      </w:r>
      <w:r w:rsidR="00BB37E2">
        <w:t xml:space="preserve">staff or community organization that can support addressing social needs. </w:t>
      </w:r>
      <w:r w:rsidR="00B413F5">
        <w:t xml:space="preserve"> </w:t>
      </w:r>
    </w:p>
    <w:p w14:paraId="682EA9F1" w14:textId="35220148" w:rsidR="5C0C04E1" w:rsidRDefault="5C0C04E1" w:rsidP="5C0C04E1">
      <w:pPr>
        <w:pStyle w:val="ListParagraph"/>
        <w:numPr>
          <w:ilvl w:val="0"/>
          <w:numId w:val="6"/>
        </w:numPr>
        <w:spacing w:line="278" w:lineRule="auto"/>
      </w:pPr>
      <w:r>
        <w:t>Day of Surgery</w:t>
      </w:r>
    </w:p>
    <w:p w14:paraId="554236EA" w14:textId="553C5774" w:rsidR="001F3A44" w:rsidRDefault="003F4A07" w:rsidP="00C1065E">
      <w:pPr>
        <w:pStyle w:val="ListParagraph"/>
        <w:numPr>
          <w:ilvl w:val="1"/>
          <w:numId w:val="6"/>
        </w:numPr>
        <w:spacing w:line="278" w:lineRule="auto"/>
      </w:pPr>
      <w:r w:rsidRPr="003F4A07">
        <w:rPr>
          <w:color w:val="EE0000"/>
        </w:rPr>
        <w:t>For all patients</w:t>
      </w:r>
      <w:r>
        <w:t>, c</w:t>
      </w:r>
      <w:r w:rsidR="0058068D">
        <w:t xml:space="preserve">heck a fasting blood glucose (FBG) </w:t>
      </w:r>
      <w:r w:rsidR="00773C4D">
        <w:t xml:space="preserve">preoperatively </w:t>
      </w:r>
      <w:r w:rsidR="0058068D">
        <w:t>within 4 hours of start time</w:t>
      </w:r>
      <w:r w:rsidR="00804E35">
        <w:t xml:space="preserve">. </w:t>
      </w:r>
    </w:p>
    <w:p w14:paraId="2A1B59DD" w14:textId="16E55E6A" w:rsidR="00F102C8" w:rsidRDefault="00533162" w:rsidP="00F102C8">
      <w:pPr>
        <w:pStyle w:val="ListParagraph"/>
        <w:numPr>
          <w:ilvl w:val="2"/>
          <w:numId w:val="6"/>
        </w:numPr>
        <w:spacing w:line="278" w:lineRule="auto"/>
      </w:pPr>
      <w:r>
        <w:t xml:space="preserve">Evaluate for presence of diabetes those with elevated FBG/random BG by reflexively checking a HbA1c level. </w:t>
      </w:r>
    </w:p>
    <w:p w14:paraId="723A134E" w14:textId="67D79534" w:rsidR="00F9480E" w:rsidRPr="00F9480E" w:rsidRDefault="00F9480E" w:rsidP="7F394DB4">
      <w:pPr>
        <w:pStyle w:val="ListParagraph"/>
        <w:numPr>
          <w:ilvl w:val="1"/>
          <w:numId w:val="6"/>
        </w:numPr>
        <w:spacing w:line="278" w:lineRule="auto"/>
        <w:rPr>
          <w:b/>
          <w:bCs/>
        </w:rPr>
      </w:pPr>
      <w:commentRangeStart w:id="24"/>
      <w:commentRangeStart w:id="25"/>
      <w:r w:rsidRPr="7F394DB4">
        <w:rPr>
          <w:b/>
          <w:bCs/>
        </w:rPr>
        <w:t xml:space="preserve">Do not proceed with </w:t>
      </w:r>
      <w:r w:rsidR="00B01459">
        <w:rPr>
          <w:b/>
          <w:bCs/>
          <w:color w:val="EE0000"/>
        </w:rPr>
        <w:t>nonemergent</w:t>
      </w:r>
      <w:r w:rsidR="00847A09" w:rsidRPr="00847A09">
        <w:rPr>
          <w:b/>
          <w:bCs/>
          <w:color w:val="EE0000"/>
        </w:rPr>
        <w:t xml:space="preserve"> </w:t>
      </w:r>
      <w:r w:rsidRPr="7F394DB4">
        <w:rPr>
          <w:b/>
          <w:bCs/>
        </w:rPr>
        <w:t>procedure if signs or symptoms of diabetic ketoacidosis/</w:t>
      </w:r>
      <w:r w:rsidR="4A12A2C8" w:rsidRPr="7F394DB4">
        <w:rPr>
          <w:b/>
          <w:bCs/>
        </w:rPr>
        <w:t>Hyperosmolar Hyperglycemic Nonketotic Syndrome</w:t>
      </w:r>
      <w:r w:rsidR="43382C83" w:rsidRPr="7F394DB4">
        <w:rPr>
          <w:b/>
          <w:bCs/>
        </w:rPr>
        <w:t xml:space="preserve"> </w:t>
      </w:r>
      <w:r w:rsidR="4A12A2C8" w:rsidRPr="7F394DB4">
        <w:rPr>
          <w:b/>
          <w:bCs/>
        </w:rPr>
        <w:t>(</w:t>
      </w:r>
      <w:commentRangeStart w:id="26"/>
      <w:r w:rsidRPr="7F394DB4">
        <w:rPr>
          <w:b/>
          <w:bCs/>
        </w:rPr>
        <w:t>HHNKS</w:t>
      </w:r>
      <w:r w:rsidR="29E4B057" w:rsidRPr="7F394DB4">
        <w:rPr>
          <w:b/>
          <w:bCs/>
        </w:rPr>
        <w:t>)</w:t>
      </w:r>
      <w:r w:rsidRPr="7F394DB4">
        <w:rPr>
          <w:b/>
          <w:bCs/>
        </w:rPr>
        <w:t xml:space="preserve"> </w:t>
      </w:r>
      <w:commentRangeEnd w:id="26"/>
      <w:r>
        <w:rPr>
          <w:rStyle w:val="CommentReference"/>
        </w:rPr>
        <w:commentReference w:id="26"/>
      </w:r>
      <w:r w:rsidR="008A1BC0" w:rsidRPr="7F394DB4">
        <w:rPr>
          <w:b/>
          <w:bCs/>
        </w:rPr>
        <w:t xml:space="preserve">are </w:t>
      </w:r>
      <w:r w:rsidRPr="7F394DB4">
        <w:rPr>
          <w:b/>
          <w:bCs/>
        </w:rPr>
        <w:t>present</w:t>
      </w:r>
      <w:r w:rsidR="008A1BC0" w:rsidRPr="7F394DB4">
        <w:rPr>
          <w:b/>
          <w:bCs/>
        </w:rPr>
        <w:t xml:space="preserve">. </w:t>
      </w:r>
      <w:commentRangeEnd w:id="24"/>
      <w:r w:rsidR="003F4A07">
        <w:rPr>
          <w:rStyle w:val="CommentReference"/>
          <w:rFonts w:eastAsiaTheme="minorHAnsi"/>
          <w:kern w:val="2"/>
          <w:lang w:eastAsia="en-US"/>
          <w14:ligatures w14:val="standardContextual"/>
        </w:rPr>
        <w:commentReference w:id="24"/>
      </w:r>
      <w:commentRangeEnd w:id="25"/>
      <w:r w:rsidR="003F4A07">
        <w:rPr>
          <w:rStyle w:val="CommentReference"/>
          <w:rFonts w:eastAsiaTheme="minorHAnsi"/>
          <w:kern w:val="2"/>
          <w:lang w:eastAsia="en-US"/>
          <w14:ligatures w14:val="standardContextual"/>
        </w:rPr>
        <w:commentReference w:id="25"/>
      </w:r>
    </w:p>
    <w:p w14:paraId="246F4119" w14:textId="77777777" w:rsidR="00B816B6" w:rsidRDefault="00B816B6" w:rsidP="00B816B6">
      <w:pPr>
        <w:pStyle w:val="ListParagraph"/>
        <w:numPr>
          <w:ilvl w:val="1"/>
          <w:numId w:val="6"/>
        </w:numPr>
        <w:spacing w:line="278" w:lineRule="auto"/>
        <w:rPr>
          <w:strike/>
          <w:color w:val="EE0000"/>
        </w:rPr>
      </w:pPr>
      <w:r w:rsidRPr="000B3F4D">
        <w:rPr>
          <w:strike/>
          <w:color w:val="EE0000"/>
        </w:rPr>
        <w:t xml:space="preserve">For those with risk of elevated blood glucose (e.g., history of diabetes, taking steroids, etc.) check blood glucose every 1-2 hours intraoperatively, starting within 60 minutes of procedure start time. </w:t>
      </w:r>
    </w:p>
    <w:p w14:paraId="5B211061" w14:textId="7972CEA7" w:rsidR="00B816B6" w:rsidRDefault="00B816B6" w:rsidP="00B816B6">
      <w:pPr>
        <w:pStyle w:val="ListParagraph"/>
        <w:numPr>
          <w:ilvl w:val="1"/>
          <w:numId w:val="6"/>
        </w:numPr>
        <w:spacing w:line="278" w:lineRule="auto"/>
        <w:rPr>
          <w:color w:val="EE0000"/>
        </w:rPr>
      </w:pPr>
      <w:r w:rsidRPr="000B3F4D">
        <w:rPr>
          <w:color w:val="EE0000"/>
        </w:rPr>
        <w:t xml:space="preserve">For all </w:t>
      </w:r>
      <w:r>
        <w:rPr>
          <w:color w:val="EE0000"/>
        </w:rPr>
        <w:t xml:space="preserve">patients having surgery </w:t>
      </w:r>
      <w:commentRangeStart w:id="27"/>
      <w:r>
        <w:rPr>
          <w:color w:val="EE0000"/>
        </w:rPr>
        <w:t>expect</w:t>
      </w:r>
      <w:r w:rsidR="006D3C29">
        <w:rPr>
          <w:color w:val="EE0000"/>
        </w:rPr>
        <w:t>ed to last more than 90 minutes</w:t>
      </w:r>
      <w:commentRangeEnd w:id="27"/>
      <w:r w:rsidR="006D3C29">
        <w:rPr>
          <w:rStyle w:val="CommentReference"/>
          <w:rFonts w:eastAsiaTheme="minorHAnsi"/>
          <w:kern w:val="2"/>
          <w:lang w:eastAsia="en-US"/>
          <w14:ligatures w14:val="standardContextual"/>
        </w:rPr>
        <w:commentReference w:id="27"/>
      </w:r>
      <w:r>
        <w:rPr>
          <w:color w:val="EE0000"/>
        </w:rPr>
        <w:t>, take a blood sugar level in the operating room</w:t>
      </w:r>
    </w:p>
    <w:p w14:paraId="1E7E5133" w14:textId="77AC0E62" w:rsidR="00B816B6" w:rsidRPr="000B3F4D" w:rsidRDefault="00B816B6" w:rsidP="00B816B6">
      <w:pPr>
        <w:pStyle w:val="ListParagraph"/>
        <w:numPr>
          <w:ilvl w:val="1"/>
          <w:numId w:val="6"/>
        </w:numPr>
        <w:spacing w:line="278" w:lineRule="auto"/>
        <w:rPr>
          <w:color w:val="EE0000"/>
        </w:rPr>
      </w:pPr>
      <w:r>
        <w:rPr>
          <w:color w:val="EE0000"/>
        </w:rPr>
        <w:t xml:space="preserve">For all patients with a blood sugar &gt;180mg/dL, start insulin (pre-op holding or OR) and repeat blood sugar testing </w:t>
      </w:r>
      <w:r w:rsidR="00CF4EEE">
        <w:rPr>
          <w:color w:val="EE0000"/>
        </w:rPr>
        <w:t>until consistently &lt;180mg/dL</w:t>
      </w:r>
    </w:p>
    <w:p w14:paraId="6EFDE3F2" w14:textId="77777777" w:rsidR="00B816B6" w:rsidRPr="00C74803" w:rsidRDefault="00B816B6" w:rsidP="00B816B6">
      <w:pPr>
        <w:pStyle w:val="ListParagraph"/>
        <w:numPr>
          <w:ilvl w:val="1"/>
          <w:numId w:val="6"/>
        </w:numPr>
        <w:spacing w:line="278" w:lineRule="auto"/>
        <w:rPr>
          <w:strike/>
          <w:color w:val="EE0000"/>
        </w:rPr>
      </w:pPr>
      <w:r w:rsidRPr="00C74803">
        <w:rPr>
          <w:strike/>
          <w:color w:val="EE0000"/>
        </w:rPr>
        <w:t xml:space="preserve">Begin insulin administration following facility protocol, </w:t>
      </w:r>
      <w:r w:rsidRPr="00C74803">
        <w:rPr>
          <w:b/>
          <w:bCs/>
          <w:strike/>
          <w:color w:val="EE0000"/>
        </w:rPr>
        <w:t>regardless of diabetes status</w:t>
      </w:r>
      <w:r w:rsidRPr="00C74803">
        <w:rPr>
          <w:strike/>
          <w:color w:val="EE0000"/>
        </w:rPr>
        <w:t xml:space="preserve">. </w:t>
      </w:r>
    </w:p>
    <w:p w14:paraId="4A443022" w14:textId="07FC6AF1" w:rsidR="00804E35" w:rsidRPr="00CF4EEE" w:rsidRDefault="5C0C04E1" w:rsidP="00804E35">
      <w:pPr>
        <w:pStyle w:val="ListParagraph"/>
        <w:numPr>
          <w:ilvl w:val="1"/>
          <w:numId w:val="6"/>
        </w:numPr>
        <w:spacing w:line="278" w:lineRule="auto"/>
        <w:rPr>
          <w:strike/>
          <w:color w:val="EE0000"/>
        </w:rPr>
      </w:pPr>
      <w:r w:rsidRPr="00CF4EEE">
        <w:rPr>
          <w:strike/>
          <w:color w:val="EE0000"/>
        </w:rPr>
        <w:lastRenderedPageBreak/>
        <w:t>Most patients should maintain a blood sugar below 180mg/dL for procedures requiring postoperative admission or having a foreign body implant.</w:t>
      </w:r>
    </w:p>
    <w:p w14:paraId="11DDA0D1" w14:textId="0F32045A" w:rsidR="5C0C04E1" w:rsidRDefault="5C0C04E1" w:rsidP="5C0C04E1">
      <w:pPr>
        <w:pStyle w:val="ListParagraph"/>
        <w:numPr>
          <w:ilvl w:val="1"/>
          <w:numId w:val="6"/>
        </w:numPr>
        <w:spacing w:line="278" w:lineRule="auto"/>
      </w:pPr>
      <w:r>
        <w:t xml:space="preserve">For patients not requiring postoperative admission, treat with short-acting insulin as necessary. </w:t>
      </w:r>
    </w:p>
    <w:p w14:paraId="0952E326" w14:textId="06CA19D1" w:rsidR="002610E2" w:rsidRDefault="0005606B" w:rsidP="00CF4EEE">
      <w:pPr>
        <w:pStyle w:val="ListParagraph"/>
        <w:numPr>
          <w:ilvl w:val="2"/>
          <w:numId w:val="6"/>
        </w:numPr>
        <w:spacing w:line="278" w:lineRule="auto"/>
      </w:pPr>
      <w:r>
        <w:t>For patients with diabetes, consider the following general guidelines</w:t>
      </w:r>
      <w:r w:rsidR="00CF4EEE">
        <w:t xml:space="preserve"> in </w:t>
      </w:r>
      <w:hyperlink w:anchor="_Appendix_F._General" w:history="1">
        <w:r w:rsidR="00CF4EEE" w:rsidRPr="00CF4EEE">
          <w:rPr>
            <w:rStyle w:val="Hyperlink"/>
            <w:b/>
            <w:bCs/>
          </w:rPr>
          <w:t>Appendi</w:t>
        </w:r>
        <w:r w:rsidR="00CF4EEE" w:rsidRPr="00CF4EEE">
          <w:rPr>
            <w:rStyle w:val="Hyperlink"/>
            <w:b/>
            <w:bCs/>
          </w:rPr>
          <w:t>x</w:t>
        </w:r>
        <w:r w:rsidR="00CF4EEE" w:rsidRPr="00CF4EEE">
          <w:rPr>
            <w:rStyle w:val="Hyperlink"/>
            <w:b/>
            <w:bCs/>
          </w:rPr>
          <w:t xml:space="preserve"> F</w:t>
        </w:r>
        <w:r w:rsidR="003663AA" w:rsidRPr="00CF4EEE">
          <w:rPr>
            <w:rStyle w:val="Hyperlink"/>
            <w:rFonts w:ascii="ZWAdobeF" w:hAnsi="ZWAdobeF" w:cs="ZWAdobeF"/>
            <w:sz w:val="2"/>
            <w:szCs w:val="2"/>
          </w:rPr>
          <w:t>9F</w:t>
        </w:r>
      </w:hyperlink>
      <w:r w:rsidR="000A769F">
        <w:rPr>
          <w:rStyle w:val="EndnoteReference"/>
        </w:rPr>
        <w:endnoteReference w:id="14"/>
      </w:r>
    </w:p>
    <w:p w14:paraId="54278507" w14:textId="50A9DDDD" w:rsidR="000A769F" w:rsidRPr="00FD2594" w:rsidRDefault="372C876F" w:rsidP="386A5C92">
      <w:pPr>
        <w:pStyle w:val="ListParagraph"/>
        <w:numPr>
          <w:ilvl w:val="1"/>
          <w:numId w:val="6"/>
        </w:numPr>
        <w:spacing w:line="278" w:lineRule="auto"/>
      </w:pPr>
      <w:r w:rsidRPr="00FD2594">
        <w:t>G</w:t>
      </w:r>
      <w:r w:rsidR="000A769F" w:rsidRPr="00FD2594">
        <w:t>lucose monitor</w:t>
      </w:r>
      <w:r w:rsidR="3CB0B282" w:rsidRPr="00FD2594">
        <w:t>ing</w:t>
      </w:r>
    </w:p>
    <w:p w14:paraId="6ED61774" w14:textId="127B6FD4" w:rsidR="72F50C59" w:rsidRPr="00FD2594" w:rsidRDefault="00AE098D" w:rsidP="386A5C92">
      <w:pPr>
        <w:pStyle w:val="ListParagraph"/>
        <w:numPr>
          <w:ilvl w:val="2"/>
          <w:numId w:val="6"/>
        </w:numPr>
        <w:spacing w:line="278" w:lineRule="auto"/>
      </w:pPr>
      <w:r w:rsidRPr="00FD2594">
        <w:t xml:space="preserve">In general, CGM is not used during procedures </w:t>
      </w:r>
      <w:r w:rsidR="00557153" w:rsidRPr="00FD2594">
        <w:t>to drive medication administration</w:t>
      </w:r>
      <w:r w:rsidRPr="00FD2594">
        <w:t xml:space="preserve">. </w:t>
      </w:r>
      <w:r w:rsidR="72F50C59" w:rsidRPr="00FD2594">
        <w:t xml:space="preserve">If utilizing </w:t>
      </w:r>
      <w:r w:rsidR="00BA411F" w:rsidRPr="00FD2594">
        <w:t>CGM</w:t>
      </w:r>
      <w:r w:rsidR="00557153" w:rsidRPr="00FD2594">
        <w:t xml:space="preserve"> for any reason</w:t>
      </w:r>
      <w:r w:rsidR="00825702" w:rsidRPr="00FD2594">
        <w:t xml:space="preserve">, </w:t>
      </w:r>
      <w:r w:rsidR="72F50C59" w:rsidRPr="00FD2594">
        <w:t>c</w:t>
      </w:r>
      <w:r w:rsidR="009E7D15" w:rsidRPr="00FD2594">
        <w:t xml:space="preserve">orroborate </w:t>
      </w:r>
      <w:r w:rsidR="4C2B8B90" w:rsidRPr="00FD2594">
        <w:t xml:space="preserve">CGM </w:t>
      </w:r>
      <w:r w:rsidR="41855691" w:rsidRPr="00FD2594">
        <w:t xml:space="preserve">readings </w:t>
      </w:r>
      <w:r w:rsidR="1C512811" w:rsidRPr="00FD2594">
        <w:t xml:space="preserve">by </w:t>
      </w:r>
      <w:r w:rsidR="1636066E" w:rsidRPr="00FD2594">
        <w:t>checking capillary blood glucose</w:t>
      </w:r>
      <w:r w:rsidR="00825702" w:rsidRPr="00FD2594">
        <w:t xml:space="preserve">. </w:t>
      </w:r>
    </w:p>
    <w:p w14:paraId="442C31D2" w14:textId="76FE5200" w:rsidR="009E7D15" w:rsidRPr="00FD2594" w:rsidRDefault="5C0C04E1" w:rsidP="000A769F">
      <w:pPr>
        <w:pStyle w:val="ListParagraph"/>
        <w:numPr>
          <w:ilvl w:val="2"/>
          <w:numId w:val="6"/>
        </w:numPr>
        <w:spacing w:line="278" w:lineRule="auto"/>
      </w:pPr>
      <w:r w:rsidRPr="00FD2594">
        <w:t xml:space="preserve">Continue automatic insulin devices (AID)/subcutaneous insulin infusion systems for procedures under 2 hours, if device can be placed outside the surgical field, easily visualized and easily accessed. </w:t>
      </w:r>
    </w:p>
    <w:p w14:paraId="60E3C77D" w14:textId="77777777" w:rsidR="000E2C69" w:rsidRPr="00FD2594" w:rsidRDefault="000E2C69" w:rsidP="00A50FBE">
      <w:pPr>
        <w:pStyle w:val="ListParagraph"/>
        <w:numPr>
          <w:ilvl w:val="0"/>
          <w:numId w:val="6"/>
        </w:numPr>
        <w:spacing w:line="278" w:lineRule="auto"/>
      </w:pPr>
      <w:r w:rsidRPr="00FD2594">
        <w:t>Postoperative recovery</w:t>
      </w:r>
    </w:p>
    <w:p w14:paraId="7D042821" w14:textId="697EF880" w:rsidR="000A769F" w:rsidRPr="00FD2594" w:rsidRDefault="000E2C69" w:rsidP="00A50FBE">
      <w:pPr>
        <w:pStyle w:val="ListParagraph"/>
        <w:numPr>
          <w:ilvl w:val="1"/>
          <w:numId w:val="6"/>
        </w:numPr>
        <w:spacing w:line="278" w:lineRule="auto"/>
      </w:pPr>
      <w:r w:rsidRPr="00FD2594">
        <w:t>Monitor blood glucose every 1-2 hours at a minimum while in recovery for those with intraoperative</w:t>
      </w:r>
      <w:r w:rsidR="00EC6ED5" w:rsidRPr="00FD2594">
        <w:t xml:space="preserve"> hyperglycemia</w:t>
      </w:r>
    </w:p>
    <w:p w14:paraId="53AFCC26" w14:textId="1E8F2A12" w:rsidR="00EC6ED5" w:rsidRPr="00FD2594" w:rsidRDefault="00A50FBE" w:rsidP="00A50FBE">
      <w:pPr>
        <w:pStyle w:val="ListParagraph"/>
        <w:numPr>
          <w:ilvl w:val="1"/>
          <w:numId w:val="6"/>
        </w:numPr>
        <w:spacing w:line="278" w:lineRule="auto"/>
      </w:pPr>
      <w:r w:rsidRPr="009A2776">
        <w:rPr>
          <w:color w:val="EE0000"/>
        </w:rPr>
        <w:t xml:space="preserve">Discontinue intravenous insulin once blood sugar levels are </w:t>
      </w:r>
      <w:r>
        <w:rPr>
          <w:color w:val="EE0000"/>
        </w:rPr>
        <w:t xml:space="preserve">consistently </w:t>
      </w:r>
      <w:r w:rsidRPr="009A2776">
        <w:rPr>
          <w:color w:val="EE0000"/>
        </w:rPr>
        <w:t>below 180mg/</w:t>
      </w:r>
      <w:proofErr w:type="gramStart"/>
      <w:r w:rsidRPr="009A2776">
        <w:rPr>
          <w:color w:val="EE0000"/>
        </w:rPr>
        <w:t>dL</w:t>
      </w:r>
      <w:r>
        <w:rPr>
          <w:color w:val="EE0000"/>
        </w:rPr>
        <w:t>, and</w:t>
      </w:r>
      <w:proofErr w:type="gramEnd"/>
      <w:r>
        <w:rPr>
          <w:color w:val="EE0000"/>
        </w:rPr>
        <w:t xml:space="preserve"> continue sliding scale insulin as needed. </w:t>
      </w:r>
      <w:r w:rsidR="00EC6ED5" w:rsidRPr="00FD2594">
        <w:t xml:space="preserve">If an insulin infusion </w:t>
      </w:r>
      <w:proofErr w:type="gramStart"/>
      <w:r w:rsidR="00EC6ED5" w:rsidRPr="00FD2594">
        <w:t>had</w:t>
      </w:r>
      <w:proofErr w:type="gramEnd"/>
      <w:r w:rsidR="00EC6ED5" w:rsidRPr="00FD2594">
        <w:t xml:space="preserve"> been started, continue postoperatively until the patient can resume eating</w:t>
      </w:r>
      <w:r w:rsidR="00DE2015" w:rsidRPr="00FD2594">
        <w:t xml:space="preserve"> before transitioning to subcutaneous as needed</w:t>
      </w:r>
    </w:p>
    <w:p w14:paraId="3BE9852F" w14:textId="267C5F0E" w:rsidR="00141FED" w:rsidRDefault="5C0C04E1" w:rsidP="00A50FBE">
      <w:pPr>
        <w:pStyle w:val="ListParagraph"/>
        <w:numPr>
          <w:ilvl w:val="1"/>
          <w:numId w:val="6"/>
        </w:numPr>
        <w:spacing w:line="278" w:lineRule="auto"/>
      </w:pPr>
      <w:r w:rsidRPr="00FD2594">
        <w:t xml:space="preserve">Consider inpatient admission to treat hyperglycemia for persistent blood glucose readings above </w:t>
      </w:r>
      <w:r w:rsidR="00FB01DD" w:rsidRPr="00FD2594">
        <w:t>&gt;250mg</w:t>
      </w:r>
      <w:r w:rsidRPr="00FD2594">
        <w:t>/dL despite treatment</w:t>
      </w:r>
      <w:r w:rsidR="007C339E" w:rsidRPr="00FD2594">
        <w:t xml:space="preserve">. When </w:t>
      </w:r>
      <w:r w:rsidR="007C339E">
        <w:t>determining if to recommend admission for</w:t>
      </w:r>
      <w:r w:rsidR="00A6113D">
        <w:t xml:space="preserve"> treatment for hyperglycemia</w:t>
      </w:r>
      <w:r w:rsidR="007C339E">
        <w:t>,</w:t>
      </w:r>
      <w:r w:rsidR="00A6113D">
        <w:t xml:space="preserve"> </w:t>
      </w:r>
      <w:r w:rsidR="007C339E">
        <w:t xml:space="preserve">determine if acute drop in blood sugar may lead to complications. </w:t>
      </w:r>
      <w:r w:rsidR="00A6113D">
        <w:t xml:space="preserve"> </w:t>
      </w:r>
    </w:p>
    <w:p w14:paraId="46D14BD4" w14:textId="7998D2B2" w:rsidR="00DE2015" w:rsidRDefault="00DE2015" w:rsidP="00A50FBE">
      <w:pPr>
        <w:pStyle w:val="ListParagraph"/>
        <w:numPr>
          <w:ilvl w:val="1"/>
          <w:numId w:val="6"/>
        </w:numPr>
        <w:spacing w:line="278" w:lineRule="auto"/>
      </w:pPr>
      <w:r>
        <w:t>Reinstate preoperative diabetes treatments as appropriate once eating</w:t>
      </w:r>
    </w:p>
    <w:p w14:paraId="21DE0A74" w14:textId="3A38A70B" w:rsidR="00430E98" w:rsidRDefault="00430E98" w:rsidP="00A50FBE">
      <w:pPr>
        <w:pStyle w:val="ListParagraph"/>
        <w:numPr>
          <w:ilvl w:val="1"/>
          <w:numId w:val="6"/>
        </w:numPr>
        <w:spacing w:line="278" w:lineRule="auto"/>
      </w:pPr>
      <w:r>
        <w:t>Upon discharge</w:t>
      </w:r>
      <w:r w:rsidR="00372234">
        <w:t>, for those with intraoperative hyperglycemia</w:t>
      </w:r>
    </w:p>
    <w:p w14:paraId="2253A34F" w14:textId="55F0BE75" w:rsidR="00430E98" w:rsidRDefault="00430E98" w:rsidP="00A50FBE">
      <w:pPr>
        <w:pStyle w:val="ListParagraph"/>
        <w:numPr>
          <w:ilvl w:val="2"/>
          <w:numId w:val="6"/>
        </w:numPr>
        <w:spacing w:line="278" w:lineRule="auto"/>
      </w:pPr>
      <w:r>
        <w:t xml:space="preserve">Discuss low carbohydrate diet, tailored to cultural and linguistic needs and preferences </w:t>
      </w:r>
    </w:p>
    <w:p w14:paraId="389E2A96" w14:textId="63E2725C" w:rsidR="00372234" w:rsidRDefault="006A1CAF" w:rsidP="00A50FBE">
      <w:pPr>
        <w:pStyle w:val="ListParagraph"/>
        <w:numPr>
          <w:ilvl w:val="2"/>
          <w:numId w:val="6"/>
        </w:numPr>
        <w:spacing w:line="278" w:lineRule="auto"/>
      </w:pPr>
      <w:r>
        <w:t>Refer those newly diagnosed with diabetes to outpatient endocrinology</w:t>
      </w:r>
    </w:p>
    <w:p w14:paraId="14836BA1" w14:textId="4009D542" w:rsidR="006A1CAF" w:rsidRDefault="006A1CAF" w:rsidP="00A50FBE">
      <w:pPr>
        <w:pStyle w:val="ListParagraph"/>
        <w:numPr>
          <w:ilvl w:val="2"/>
          <w:numId w:val="6"/>
        </w:numPr>
        <w:spacing w:line="278" w:lineRule="auto"/>
      </w:pPr>
      <w:r>
        <w:t xml:space="preserve">Support scheduling with primary care to </w:t>
      </w:r>
      <w:r w:rsidR="002A5A96">
        <w:t xml:space="preserve">continue monitoring and treating hyperglycemia. Refer to establish primary care as applicable. </w:t>
      </w:r>
    </w:p>
    <w:p w14:paraId="1EAA47A2" w14:textId="2DFCCF52" w:rsidR="00802CF2" w:rsidRDefault="5C0C04E1" w:rsidP="00A50FBE">
      <w:pPr>
        <w:pStyle w:val="ListParagraph"/>
        <w:numPr>
          <w:ilvl w:val="2"/>
          <w:numId w:val="6"/>
        </w:numPr>
        <w:spacing w:line="278" w:lineRule="auto"/>
      </w:pPr>
      <w:r>
        <w:t>Communicate existence of intraoperative hyperglycemia to primary care provider</w:t>
      </w:r>
    </w:p>
    <w:p w14:paraId="7D606303" w14:textId="31C26D2D" w:rsidR="00773EC6" w:rsidRDefault="00773EC6" w:rsidP="00773EC6">
      <w:pPr>
        <w:pStyle w:val="Heading4"/>
      </w:pPr>
      <w:r>
        <w:lastRenderedPageBreak/>
        <w:t>Preoperative Anemia Optimization</w:t>
      </w:r>
    </w:p>
    <w:p w14:paraId="53218A5A" w14:textId="5211EBCE" w:rsidR="00727E2A" w:rsidRDefault="00727E2A" w:rsidP="00727E2A">
      <w:pPr>
        <w:pStyle w:val="ListParagraph"/>
        <w:numPr>
          <w:ilvl w:val="0"/>
          <w:numId w:val="17"/>
        </w:numPr>
      </w:pPr>
      <w:r>
        <w:t>When patient is scheduled for surgery, identify if they have a history of anemia; evaluate for presence of anemia</w:t>
      </w:r>
    </w:p>
    <w:p w14:paraId="48C57D2E" w14:textId="77777777" w:rsidR="00727E2A" w:rsidRDefault="00727E2A" w:rsidP="00727E2A">
      <w:pPr>
        <w:pStyle w:val="ListParagraph"/>
        <w:numPr>
          <w:ilvl w:val="0"/>
          <w:numId w:val="17"/>
        </w:numPr>
      </w:pPr>
      <w:r>
        <w:t xml:space="preserve">Discuss goals for anemia optimization with patient and preoperative care team, including when delay of procedure should be considered (e.g., lack of response to treatment, suspected blood loss causing anemia, etc.) </w:t>
      </w:r>
    </w:p>
    <w:p w14:paraId="5B60296C" w14:textId="79ECE177" w:rsidR="00727E2A" w:rsidRDefault="5C0C04E1" w:rsidP="00727E2A">
      <w:pPr>
        <w:pStyle w:val="ListParagraph"/>
        <w:numPr>
          <w:ilvl w:val="0"/>
          <w:numId w:val="17"/>
        </w:numPr>
      </w:pPr>
      <w:r>
        <w:t>Ensure recent relevant lab values (</w:t>
      </w:r>
      <w:r w:rsidR="003661D0">
        <w:t xml:space="preserve">e.g., </w:t>
      </w:r>
      <w:r>
        <w:t xml:space="preserve">hemoglobin, iron studies) were completed </w:t>
      </w:r>
    </w:p>
    <w:p w14:paraId="2126EA9B" w14:textId="3DAEE667" w:rsidR="00C00C0C" w:rsidRPr="00727E2A" w:rsidRDefault="00BB37E2" w:rsidP="5C0C04E1">
      <w:pPr>
        <w:pStyle w:val="Heading2"/>
      </w:pPr>
      <w:r>
        <w:br w:type="page"/>
      </w:r>
      <w:bookmarkStart w:id="28" w:name="_Toc212542281"/>
      <w:commentRangeStart w:id="29"/>
      <w:commentRangeStart w:id="30"/>
      <w:r w:rsidR="5C0C04E1" w:rsidRPr="00D0602B">
        <w:rPr>
          <w:sz w:val="32"/>
          <w:szCs w:val="32"/>
        </w:rPr>
        <w:lastRenderedPageBreak/>
        <w:t xml:space="preserve">Health Delivery Systems </w:t>
      </w:r>
      <w:commentRangeEnd w:id="29"/>
      <w:r w:rsidR="003117C3">
        <w:rPr>
          <w:rStyle w:val="CommentReference"/>
          <w:rFonts w:asciiTheme="minorHAnsi" w:eastAsiaTheme="minorHAnsi" w:hAnsiTheme="minorHAnsi" w:cstheme="minorBidi"/>
          <w:color w:val="auto"/>
          <w:kern w:val="2"/>
          <w:lang w:eastAsia="en-US"/>
          <w14:ligatures w14:val="standardContextual"/>
        </w:rPr>
        <w:commentReference w:id="29"/>
      </w:r>
      <w:commentRangeEnd w:id="30"/>
      <w:r w:rsidR="00724313">
        <w:rPr>
          <w:rStyle w:val="CommentReference"/>
          <w:rFonts w:asciiTheme="minorHAnsi" w:eastAsiaTheme="minorHAnsi" w:hAnsiTheme="minorHAnsi" w:cstheme="minorBidi"/>
          <w:color w:val="auto"/>
          <w:kern w:val="2"/>
          <w:lang w:eastAsia="en-US"/>
          <w14:ligatures w14:val="standardContextual"/>
        </w:rPr>
        <w:commentReference w:id="30"/>
      </w:r>
      <w:bookmarkEnd w:id="28"/>
    </w:p>
    <w:p w14:paraId="0B577D7C" w14:textId="2C0CDF21" w:rsidR="5C0C04E1" w:rsidRDefault="5C0C04E1" w:rsidP="5C0C04E1">
      <w:pPr>
        <w:pStyle w:val="ListParagraph"/>
        <w:numPr>
          <w:ilvl w:val="0"/>
          <w:numId w:val="17"/>
        </w:numPr>
      </w:pPr>
      <w:r>
        <w:t xml:space="preserve">In preoperative materials, </w:t>
      </w:r>
      <w:r w:rsidR="005210E3" w:rsidRPr="00DF5196">
        <w:rPr>
          <w:color w:val="EE0000"/>
        </w:rPr>
        <w:t>incorporate</w:t>
      </w:r>
      <w:r w:rsidR="005210E3">
        <w:t xml:space="preserve"> </w:t>
      </w:r>
      <w:r>
        <w:t>patient-facing education on importance of presurgical optimization that includes glycemic control and anemia</w:t>
      </w:r>
    </w:p>
    <w:p w14:paraId="2FCFD178" w14:textId="2CE88950" w:rsidR="006D3C7D" w:rsidRDefault="006D3C7D" w:rsidP="006D3C7D">
      <w:pPr>
        <w:pStyle w:val="Heading4"/>
      </w:pPr>
      <w:r>
        <w:t>Perioperative Glycemic Control</w:t>
      </w:r>
    </w:p>
    <w:p w14:paraId="2B82410B" w14:textId="77777777" w:rsidR="00B42DC5" w:rsidRDefault="00B42DC5" w:rsidP="00B42DC5">
      <w:pPr>
        <w:pStyle w:val="ListParagraph"/>
        <w:numPr>
          <w:ilvl w:val="0"/>
          <w:numId w:val="9"/>
        </w:numPr>
        <w:spacing w:line="278" w:lineRule="auto"/>
      </w:pPr>
      <w:r w:rsidRPr="3D5EC425">
        <w:t xml:space="preserve">Protocolize hyperglycemia treatment for patients </w:t>
      </w:r>
      <w:r w:rsidRPr="00BB37E2">
        <w:rPr>
          <w:b/>
          <w:bCs/>
        </w:rPr>
        <w:t>with and without diabetes</w:t>
      </w:r>
      <w:r w:rsidRPr="3D5EC425">
        <w:t xml:space="preserve"> in </w:t>
      </w:r>
      <w:r>
        <w:t>all surgical</w:t>
      </w:r>
      <w:r w:rsidRPr="3D5EC425">
        <w:t xml:space="preserve"> settings based on most updated guidelines.</w:t>
      </w:r>
    </w:p>
    <w:p w14:paraId="3F060C21" w14:textId="004C0026" w:rsidR="00B42DC5" w:rsidRDefault="00BB37E2" w:rsidP="00B42DC5">
      <w:pPr>
        <w:pStyle w:val="ListParagraph"/>
        <w:numPr>
          <w:ilvl w:val="1"/>
          <w:numId w:val="9"/>
        </w:numPr>
        <w:spacing w:line="278" w:lineRule="auto"/>
      </w:pPr>
      <w:r>
        <w:t xml:space="preserve">Recommendations for clinicians should include the following at a minimum: </w:t>
      </w:r>
    </w:p>
    <w:p w14:paraId="660C2341" w14:textId="77777777" w:rsidR="00B42DC5" w:rsidRDefault="00B42DC5" w:rsidP="00B42DC5">
      <w:pPr>
        <w:pStyle w:val="ListParagraph"/>
        <w:numPr>
          <w:ilvl w:val="2"/>
          <w:numId w:val="9"/>
        </w:numPr>
        <w:spacing w:line="278" w:lineRule="auto"/>
      </w:pPr>
      <w:r>
        <w:t>Screening for diabetes in preoperative evaluation</w:t>
      </w:r>
    </w:p>
    <w:p w14:paraId="7AB16993" w14:textId="3380AE6A" w:rsidR="00B42DC5" w:rsidRDefault="00BB37E2" w:rsidP="00B42DC5">
      <w:pPr>
        <w:pStyle w:val="ListParagraph"/>
        <w:numPr>
          <w:ilvl w:val="2"/>
          <w:numId w:val="9"/>
        </w:numPr>
        <w:spacing w:line="278" w:lineRule="auto"/>
      </w:pPr>
      <w:r>
        <w:t>Day of surgery blood glucose screening for all major surgery</w:t>
      </w:r>
    </w:p>
    <w:p w14:paraId="032C1B00" w14:textId="6C572929" w:rsidR="00B42DC5" w:rsidRDefault="00B42DC5" w:rsidP="00B42DC5">
      <w:pPr>
        <w:pStyle w:val="ListParagraph"/>
        <w:numPr>
          <w:ilvl w:val="2"/>
          <w:numId w:val="9"/>
        </w:numPr>
        <w:spacing w:line="278" w:lineRule="auto"/>
      </w:pPr>
      <w:r w:rsidRPr="3D5EC425">
        <w:t xml:space="preserve">Intraoperative target glycemic control ranges based on surgery risk stratification and patient condition (e.g., </w:t>
      </w:r>
      <w:r w:rsidR="00141FED">
        <w:t>most commonly</w:t>
      </w:r>
      <w:r w:rsidR="00681B11">
        <w:t xml:space="preserve"> &lt;180mg/dL)</w:t>
      </w:r>
      <w:r w:rsidRPr="3D5EC425">
        <w:t xml:space="preserve"> </w:t>
      </w:r>
    </w:p>
    <w:p w14:paraId="4E14865F" w14:textId="77777777" w:rsidR="00B42DC5" w:rsidRDefault="00B42DC5" w:rsidP="00B42DC5">
      <w:pPr>
        <w:pStyle w:val="ListParagraph"/>
        <w:numPr>
          <w:ilvl w:val="2"/>
          <w:numId w:val="9"/>
        </w:numPr>
        <w:spacing w:line="278" w:lineRule="auto"/>
      </w:pPr>
      <w:r w:rsidRPr="3D5EC425">
        <w:t>Postoperative workflow for patients who receive insulin intraoperatively</w:t>
      </w:r>
      <w:r>
        <w:t>, including threshold to consider inpatient admission to treat glycemic control</w:t>
      </w:r>
    </w:p>
    <w:p w14:paraId="0473CD46" w14:textId="757679C2" w:rsidR="00B42DC5" w:rsidRDefault="00B42DC5" w:rsidP="00B42DC5">
      <w:pPr>
        <w:pStyle w:val="ListParagraph"/>
        <w:numPr>
          <w:ilvl w:val="2"/>
          <w:numId w:val="9"/>
        </w:numPr>
        <w:spacing w:line="278" w:lineRule="auto"/>
      </w:pPr>
      <w:r w:rsidRPr="19B9BBA3">
        <w:t xml:space="preserve">Standardized discharge </w:t>
      </w:r>
      <w:r w:rsidR="00D24FE5">
        <w:t>steps</w:t>
      </w:r>
      <w:r w:rsidRPr="19B9BBA3">
        <w:t xml:space="preserve"> for patients with new intraoperative hyperglycemia or diabetes</w:t>
      </w:r>
    </w:p>
    <w:p w14:paraId="6996A9FA" w14:textId="637A7CF0" w:rsidR="00B42DC5" w:rsidRPr="00FD2594" w:rsidRDefault="5C0C04E1" w:rsidP="00B42DC5">
      <w:pPr>
        <w:pStyle w:val="ListParagraph"/>
        <w:numPr>
          <w:ilvl w:val="0"/>
          <w:numId w:val="9"/>
        </w:numPr>
        <w:spacing w:line="278" w:lineRule="auto"/>
      </w:pPr>
      <w:r>
        <w:t xml:space="preserve">Ensure equipment is available perioperatively to </w:t>
      </w:r>
      <w:r w:rsidRPr="00FD2594">
        <w:t>check capillary blood glucose at least every 1-2 hours for patients undergoing elective major surgery</w:t>
      </w:r>
    </w:p>
    <w:p w14:paraId="7BC11550" w14:textId="077D6727" w:rsidR="00D24FE5" w:rsidRDefault="00D24FE5" w:rsidP="00B42DC5">
      <w:pPr>
        <w:pStyle w:val="ListParagraph"/>
        <w:numPr>
          <w:ilvl w:val="0"/>
          <w:numId w:val="9"/>
        </w:numPr>
        <w:spacing w:line="278" w:lineRule="auto"/>
      </w:pPr>
      <w:r w:rsidRPr="00FD2594">
        <w:t>Provide dedicated staff for support in scheduling follow up appointments, including with primary care and endocrinology for those with new intr</w:t>
      </w:r>
      <w:r>
        <w:t xml:space="preserve">aoperative hyperglycemia </w:t>
      </w:r>
    </w:p>
    <w:p w14:paraId="7EBCB4A7" w14:textId="77777777" w:rsidR="00E21926" w:rsidRPr="00E21926" w:rsidRDefault="004F453E" w:rsidP="00B42DC5">
      <w:pPr>
        <w:pStyle w:val="ListParagraph"/>
        <w:numPr>
          <w:ilvl w:val="0"/>
          <w:numId w:val="9"/>
        </w:numPr>
        <w:spacing w:line="278" w:lineRule="auto"/>
      </w:pPr>
      <w:commentRangeStart w:id="31"/>
      <w:r w:rsidRPr="00C52188">
        <w:rPr>
          <w:color w:val="EE0000"/>
        </w:rPr>
        <w:t>Develop capacity to safely utilize intravenous insulin in non-ICU settings</w:t>
      </w:r>
      <w:commentRangeEnd w:id="31"/>
      <w:r w:rsidR="00E21926">
        <w:rPr>
          <w:color w:val="EE0000"/>
        </w:rPr>
        <w:t>.</w:t>
      </w:r>
    </w:p>
    <w:p w14:paraId="02782E41" w14:textId="7787E196" w:rsidR="004F453E" w:rsidRDefault="00E21926" w:rsidP="00E21926">
      <w:pPr>
        <w:pStyle w:val="ListParagraph"/>
        <w:numPr>
          <w:ilvl w:val="1"/>
          <w:numId w:val="9"/>
        </w:numPr>
        <w:spacing w:line="278" w:lineRule="auto"/>
      </w:pPr>
      <w:r>
        <w:rPr>
          <w:color w:val="EE0000"/>
        </w:rPr>
        <w:t>Train staff??</w:t>
      </w:r>
      <w:r w:rsidR="004F453E">
        <w:rPr>
          <w:rStyle w:val="CommentReference"/>
          <w:rFonts w:eastAsiaTheme="minorHAnsi"/>
          <w:kern w:val="2"/>
          <w:lang w:eastAsia="en-US"/>
          <w14:ligatures w14:val="standardContextual"/>
        </w:rPr>
        <w:commentReference w:id="31"/>
      </w:r>
    </w:p>
    <w:p w14:paraId="53AC1935" w14:textId="67D44CFD" w:rsidR="00773EC6" w:rsidRDefault="5C0C04E1" w:rsidP="00773EC6">
      <w:pPr>
        <w:pStyle w:val="Heading4"/>
      </w:pPr>
      <w:r>
        <w:t>Preoperative Anemia Optimization</w:t>
      </w:r>
    </w:p>
    <w:p w14:paraId="5E7B40ED" w14:textId="77777777" w:rsidR="005B0912" w:rsidRDefault="005B0912" w:rsidP="005B0912">
      <w:pPr>
        <w:pStyle w:val="ListParagraph"/>
        <w:numPr>
          <w:ilvl w:val="0"/>
          <w:numId w:val="18"/>
        </w:numPr>
      </w:pPr>
      <w:r>
        <w:t>Adopt standardized clinical pathway for identifying anemia and evaluation of underlying cause of anemia, and referral to primary care for ongoing management of anemia</w:t>
      </w:r>
    </w:p>
    <w:p w14:paraId="3976A49B" w14:textId="77777777" w:rsidR="005B0912" w:rsidRDefault="005B0912" w:rsidP="005B0912">
      <w:pPr>
        <w:pStyle w:val="ListParagraph"/>
        <w:numPr>
          <w:ilvl w:val="0"/>
          <w:numId w:val="18"/>
        </w:numPr>
      </w:pPr>
      <w:r>
        <w:t>Promote adjustment of anemia policies through educational opportunities like in-services</w:t>
      </w:r>
    </w:p>
    <w:p w14:paraId="1795A65A" w14:textId="77777777" w:rsidR="005B0912" w:rsidRDefault="005B0912" w:rsidP="005B0912">
      <w:pPr>
        <w:pStyle w:val="ListParagraph"/>
        <w:numPr>
          <w:ilvl w:val="0"/>
          <w:numId w:val="18"/>
        </w:numPr>
      </w:pPr>
      <w:r>
        <w:t>Incorporate auto-reflexive testing of ferritin, iron and transferrin for presurgical patients with Hb &lt;13g/dL (regardless of sex at birth) for procedures with estimated blood loss of 500ml or a risk of transfusion 10% or higher</w:t>
      </w:r>
    </w:p>
    <w:p w14:paraId="631B8E94" w14:textId="77777777" w:rsidR="005B0912" w:rsidRDefault="005B0912" w:rsidP="005B0912">
      <w:pPr>
        <w:pStyle w:val="ListParagraph"/>
        <w:numPr>
          <w:ilvl w:val="0"/>
          <w:numId w:val="18"/>
        </w:numPr>
      </w:pPr>
      <w:r>
        <w:t xml:space="preserve">Dedicate quality improvement initiatives for anemia optimization in presurgical patients. </w:t>
      </w:r>
    </w:p>
    <w:p w14:paraId="3339B356" w14:textId="77777777" w:rsidR="005B0912" w:rsidRDefault="005B0912" w:rsidP="005B0912">
      <w:pPr>
        <w:pStyle w:val="ListParagraph"/>
        <w:numPr>
          <w:ilvl w:val="1"/>
          <w:numId w:val="18"/>
        </w:numPr>
      </w:pPr>
      <w:r>
        <w:t>Identify surgical populations with highest risk for transfusion and/or blood loss in procedure to pilot anemia optimization protocols</w:t>
      </w:r>
    </w:p>
    <w:p w14:paraId="47A1AF7A" w14:textId="77777777" w:rsidR="005B0912" w:rsidRDefault="005B0912" w:rsidP="005B0912">
      <w:pPr>
        <w:pStyle w:val="ListParagraph"/>
        <w:numPr>
          <w:ilvl w:val="1"/>
          <w:numId w:val="18"/>
        </w:numPr>
      </w:pPr>
      <w:r>
        <w:lastRenderedPageBreak/>
        <w:t xml:space="preserve">Identify champion in each targeted surgical specialty to promote change </w:t>
      </w:r>
    </w:p>
    <w:p w14:paraId="20D5AEDE" w14:textId="77777777" w:rsidR="005B0912" w:rsidRDefault="005B0912" w:rsidP="005B0912">
      <w:pPr>
        <w:pStyle w:val="ListParagraph"/>
        <w:numPr>
          <w:ilvl w:val="1"/>
          <w:numId w:val="18"/>
        </w:numPr>
      </w:pPr>
      <w:r>
        <w:t>Set relevant quality measures to track progress</w:t>
      </w:r>
    </w:p>
    <w:p w14:paraId="40A2426E" w14:textId="77777777" w:rsidR="005B0912" w:rsidRDefault="005B0912" w:rsidP="005B0912">
      <w:pPr>
        <w:pStyle w:val="ListParagraph"/>
        <w:numPr>
          <w:ilvl w:val="2"/>
          <w:numId w:val="18"/>
        </w:numPr>
      </w:pPr>
      <w:r>
        <w:t>% of patients receiving appropriate preoperative tests</w:t>
      </w:r>
    </w:p>
    <w:p w14:paraId="2BDB5040" w14:textId="48389045" w:rsidR="005B0912" w:rsidRDefault="005B0912" w:rsidP="005B0912">
      <w:pPr>
        <w:pStyle w:val="ListParagraph"/>
        <w:numPr>
          <w:ilvl w:val="2"/>
          <w:numId w:val="18"/>
        </w:numPr>
      </w:pPr>
      <w:r>
        <w:t xml:space="preserve">% of patients with </w:t>
      </w:r>
      <w:r w:rsidR="6E0B9548">
        <w:t xml:space="preserve">IDA </w:t>
      </w:r>
      <w:r>
        <w:t xml:space="preserve"> receiving iron supplementation preoperatively</w:t>
      </w:r>
    </w:p>
    <w:p w14:paraId="17A27C5F" w14:textId="77777777" w:rsidR="005B0912" w:rsidRDefault="005B0912" w:rsidP="005B0912">
      <w:pPr>
        <w:pStyle w:val="ListParagraph"/>
        <w:numPr>
          <w:ilvl w:val="2"/>
          <w:numId w:val="18"/>
        </w:numPr>
      </w:pPr>
      <w:r>
        <w:t xml:space="preserve">Blood transfusion rates </w:t>
      </w:r>
    </w:p>
    <w:p w14:paraId="4F8A092D" w14:textId="77777777" w:rsidR="005B0912" w:rsidRDefault="005B0912" w:rsidP="005B0912">
      <w:pPr>
        <w:pStyle w:val="ListParagraph"/>
        <w:numPr>
          <w:ilvl w:val="2"/>
          <w:numId w:val="18"/>
        </w:numPr>
      </w:pPr>
      <w:r>
        <w:t xml:space="preserve">Postoperative anemia rates </w:t>
      </w:r>
    </w:p>
    <w:p w14:paraId="7D8ED3D1" w14:textId="009CAE34" w:rsidR="005B0912" w:rsidRDefault="005B0912" w:rsidP="005B0912">
      <w:pPr>
        <w:pStyle w:val="ListParagraph"/>
        <w:numPr>
          <w:ilvl w:val="0"/>
          <w:numId w:val="18"/>
        </w:numPr>
      </w:pPr>
      <w:r>
        <w:t xml:space="preserve">Consider developing dedicated resources/team to direct patients that need further evaluation of underlying </w:t>
      </w:r>
      <w:proofErr w:type="gramStart"/>
      <w:r>
        <w:t>cause</w:t>
      </w:r>
      <w:proofErr w:type="gramEnd"/>
      <w:r>
        <w:t xml:space="preserve"> of anemia</w:t>
      </w:r>
      <w:r w:rsidR="008F39F6">
        <w:t xml:space="preserve"> (e.g., preoperative anemia optimization clinic) </w:t>
      </w:r>
    </w:p>
    <w:p w14:paraId="51860AEB" w14:textId="77777777" w:rsidR="00D24FE5" w:rsidRDefault="00D24FE5">
      <w:pPr>
        <w:rPr>
          <w:rFonts w:asciiTheme="majorHAnsi" w:eastAsiaTheme="majorEastAsia" w:hAnsiTheme="majorHAnsi" w:cstheme="majorBidi"/>
          <w:color w:val="0F4761" w:themeColor="accent1" w:themeShade="BF"/>
          <w:sz w:val="26"/>
          <w:szCs w:val="26"/>
        </w:rPr>
      </w:pPr>
      <w:r>
        <w:br w:type="page"/>
      </w:r>
    </w:p>
    <w:p w14:paraId="25DE8873" w14:textId="53467868" w:rsidR="00A659AA" w:rsidRPr="00A11C90" w:rsidRDefault="00C00C0C" w:rsidP="00A659AA">
      <w:pPr>
        <w:pStyle w:val="Heading2"/>
        <w:rPr>
          <w:sz w:val="32"/>
          <w:szCs w:val="32"/>
        </w:rPr>
      </w:pPr>
      <w:bookmarkStart w:id="32" w:name="_Toc206580467"/>
      <w:bookmarkStart w:id="33" w:name="_Toc212542282"/>
      <w:commentRangeStart w:id="34"/>
      <w:r w:rsidRPr="00A11C90">
        <w:rPr>
          <w:sz w:val="32"/>
          <w:szCs w:val="32"/>
        </w:rPr>
        <w:lastRenderedPageBreak/>
        <w:t>Health Plans</w:t>
      </w:r>
      <w:bookmarkEnd w:id="32"/>
      <w:commentRangeEnd w:id="34"/>
      <w:r w:rsidR="00A11C90">
        <w:rPr>
          <w:rStyle w:val="CommentReference"/>
          <w:rFonts w:asciiTheme="minorHAnsi" w:eastAsiaTheme="minorHAnsi" w:hAnsiTheme="minorHAnsi" w:cstheme="minorBidi"/>
          <w:color w:val="auto"/>
          <w:kern w:val="2"/>
          <w:lang w:eastAsia="en-US"/>
          <w14:ligatures w14:val="standardContextual"/>
        </w:rPr>
        <w:commentReference w:id="34"/>
      </w:r>
      <w:bookmarkEnd w:id="33"/>
    </w:p>
    <w:p w14:paraId="0F3207FB" w14:textId="5A19DABE" w:rsidR="00B217CB" w:rsidRPr="00A84E57" w:rsidRDefault="000277FD" w:rsidP="00F477C1">
      <w:pPr>
        <w:pStyle w:val="ListParagraph"/>
        <w:numPr>
          <w:ilvl w:val="0"/>
          <w:numId w:val="31"/>
        </w:numPr>
        <w:rPr>
          <w:strike/>
          <w:color w:val="EE0000"/>
        </w:rPr>
      </w:pPr>
      <w:commentRangeStart w:id="35"/>
      <w:r w:rsidRPr="00A84E57">
        <w:rPr>
          <w:strike/>
          <w:color w:val="EE0000"/>
        </w:rPr>
        <w:t xml:space="preserve">Provide </w:t>
      </w:r>
      <w:r w:rsidR="003E6CD9" w:rsidRPr="00A84E57">
        <w:rPr>
          <w:strike/>
          <w:color w:val="EE0000"/>
        </w:rPr>
        <w:t>preoperative educational material for members undergoing major elective surgery</w:t>
      </w:r>
      <w:r w:rsidR="008675B3" w:rsidRPr="00A84E57">
        <w:rPr>
          <w:strike/>
          <w:color w:val="EE0000"/>
        </w:rPr>
        <w:t>, such as within authorization letter</w:t>
      </w:r>
      <w:r w:rsidR="0006764E" w:rsidRPr="00A84E57">
        <w:rPr>
          <w:strike/>
          <w:color w:val="EE0000"/>
        </w:rPr>
        <w:t>.</w:t>
      </w:r>
    </w:p>
    <w:p w14:paraId="7183BEC9" w14:textId="67A2A2B8" w:rsidR="003E6CD9" w:rsidRPr="00A84E57" w:rsidRDefault="003E6CD9" w:rsidP="003E6CD9">
      <w:pPr>
        <w:pStyle w:val="ListParagraph"/>
        <w:numPr>
          <w:ilvl w:val="1"/>
          <w:numId w:val="31"/>
        </w:numPr>
        <w:rPr>
          <w:strike/>
          <w:color w:val="EE0000"/>
        </w:rPr>
      </w:pPr>
      <w:r w:rsidRPr="00A84E57">
        <w:rPr>
          <w:strike/>
          <w:color w:val="EE0000"/>
        </w:rPr>
        <w:t>Include importance of addressing conditions like diabetes and anemia</w:t>
      </w:r>
    </w:p>
    <w:p w14:paraId="77D5EA8C" w14:textId="541711B4" w:rsidR="00342F12" w:rsidRPr="00A84E57" w:rsidRDefault="00036976" w:rsidP="00342F12">
      <w:pPr>
        <w:pStyle w:val="ListParagraph"/>
        <w:numPr>
          <w:ilvl w:val="1"/>
          <w:numId w:val="31"/>
        </w:numPr>
        <w:rPr>
          <w:strike/>
          <w:color w:val="EE0000"/>
        </w:rPr>
      </w:pPr>
      <w:r w:rsidRPr="00A84E57">
        <w:rPr>
          <w:strike/>
          <w:color w:val="EE0000"/>
        </w:rPr>
        <w:t>Encouragement to get tested early as possible before surgery</w:t>
      </w:r>
      <w:r w:rsidR="00B46C52" w:rsidRPr="00A84E57">
        <w:rPr>
          <w:strike/>
          <w:color w:val="EE0000"/>
        </w:rPr>
        <w:t xml:space="preserve"> and why</w:t>
      </w:r>
      <w:commentRangeEnd w:id="35"/>
      <w:r w:rsidR="00677D58">
        <w:rPr>
          <w:rStyle w:val="CommentReference"/>
          <w:rFonts w:eastAsiaTheme="minorHAnsi"/>
          <w:kern w:val="2"/>
          <w:lang w:eastAsia="en-US"/>
          <w14:ligatures w14:val="standardContextual"/>
        </w:rPr>
        <w:commentReference w:id="35"/>
      </w:r>
    </w:p>
    <w:p w14:paraId="5B264C26" w14:textId="77777777" w:rsidR="00974175" w:rsidRDefault="0006764E" w:rsidP="008675B3">
      <w:pPr>
        <w:pStyle w:val="ListParagraph"/>
        <w:numPr>
          <w:ilvl w:val="0"/>
          <w:numId w:val="31"/>
        </w:numPr>
      </w:pPr>
      <w:r>
        <w:t>As able, r</w:t>
      </w:r>
      <w:r w:rsidR="00D02EE5" w:rsidRPr="006157D7">
        <w:t xml:space="preserve">oute patients </w:t>
      </w:r>
      <w:r w:rsidR="00F67992">
        <w:t xml:space="preserve">undergoing major elective surgery </w:t>
      </w:r>
      <w:r w:rsidR="00D02EE5" w:rsidRPr="006157D7">
        <w:t xml:space="preserve">to preop coordinator </w:t>
      </w:r>
      <w:r w:rsidR="00515757" w:rsidRPr="006157D7">
        <w:t xml:space="preserve">and/or case management team </w:t>
      </w:r>
      <w:r w:rsidR="00D02EE5" w:rsidRPr="006157D7">
        <w:t xml:space="preserve">to support health education </w:t>
      </w:r>
      <w:r w:rsidR="00FF6F4A" w:rsidRPr="006157D7">
        <w:t>and coordinating care</w:t>
      </w:r>
      <w:r w:rsidR="00CC0E07" w:rsidRPr="006157D7">
        <w:t xml:space="preserve"> needs</w:t>
      </w:r>
      <w:r w:rsidR="00FF6F4A" w:rsidRPr="006157D7">
        <w:t xml:space="preserve">. </w:t>
      </w:r>
    </w:p>
    <w:p w14:paraId="2134DEB7" w14:textId="25E15362" w:rsidR="008675B3" w:rsidRDefault="00FF6F4A" w:rsidP="00974175">
      <w:pPr>
        <w:pStyle w:val="ListParagraph"/>
        <w:numPr>
          <w:ilvl w:val="1"/>
          <w:numId w:val="31"/>
        </w:numPr>
      </w:pPr>
      <w:r w:rsidRPr="006157D7">
        <w:t xml:space="preserve">Incorporate </w:t>
      </w:r>
      <w:r w:rsidR="002C2692" w:rsidRPr="006157D7">
        <w:t xml:space="preserve">standardized universal </w:t>
      </w:r>
      <w:r w:rsidRPr="006157D7">
        <w:t xml:space="preserve">screening and addressing </w:t>
      </w:r>
      <w:r w:rsidR="002C2692" w:rsidRPr="006157D7">
        <w:t>health-related social needs (e.g., food security, transportation)</w:t>
      </w:r>
      <w:r w:rsidR="00974175">
        <w:t xml:space="preserve"> </w:t>
      </w:r>
    </w:p>
    <w:p w14:paraId="72CD57C7" w14:textId="57763893" w:rsidR="004F0101" w:rsidRPr="00A84E57" w:rsidRDefault="004F0101" w:rsidP="004F0101">
      <w:pPr>
        <w:pStyle w:val="ListParagraph"/>
        <w:numPr>
          <w:ilvl w:val="0"/>
          <w:numId w:val="31"/>
        </w:numPr>
        <w:rPr>
          <w:strike/>
          <w:color w:val="EE0000"/>
        </w:rPr>
      </w:pPr>
      <w:r w:rsidRPr="00A84E57">
        <w:rPr>
          <w:strike/>
          <w:color w:val="EE0000"/>
        </w:rPr>
        <w:t xml:space="preserve">Consider offering point solutions for patients with diabetes/hyperglycemia </w:t>
      </w:r>
    </w:p>
    <w:p w14:paraId="7731A5CF" w14:textId="77777777" w:rsidR="002C2692" w:rsidRPr="006157D7" w:rsidRDefault="002C2692" w:rsidP="002C2692">
      <w:pPr>
        <w:pStyle w:val="ListParagraph"/>
        <w:numPr>
          <w:ilvl w:val="0"/>
          <w:numId w:val="31"/>
        </w:numPr>
      </w:pPr>
      <w:r w:rsidRPr="006157D7">
        <w:t>Share data on the rate of preoperative screening for anemia and diabetes with providers and/or facilities for major elective procedures</w:t>
      </w:r>
    </w:p>
    <w:p w14:paraId="35EC1E6B" w14:textId="650353A2" w:rsidR="00A3003D" w:rsidRPr="00471B9F" w:rsidRDefault="002C2692" w:rsidP="00A3003D">
      <w:pPr>
        <w:pStyle w:val="ListParagraph"/>
        <w:numPr>
          <w:ilvl w:val="1"/>
          <w:numId w:val="31"/>
        </w:numPr>
      </w:pPr>
      <w:r w:rsidRPr="006157D7">
        <w:t>For instance, provider</w:t>
      </w:r>
      <w:r w:rsidR="005822EA">
        <w:t>- or facility-</w:t>
      </w:r>
      <w:r w:rsidRPr="006157D7">
        <w:t>facing dashboards with specific rates of HbA1c screening and Hb/Hct screening</w:t>
      </w:r>
      <w:r w:rsidR="005822EA">
        <w:t xml:space="preserve"> for major elective procedure</w:t>
      </w:r>
      <w:r w:rsidR="00471B9F">
        <w:t>s</w:t>
      </w:r>
      <w:r w:rsidR="00E53C26" w:rsidRPr="00471B9F">
        <w:rPr>
          <w:strike/>
        </w:rPr>
        <w:t xml:space="preserve"> </w:t>
      </w:r>
    </w:p>
    <w:p w14:paraId="7493891E" w14:textId="77777777" w:rsidR="002C2692" w:rsidRPr="006157D7" w:rsidRDefault="002C2692" w:rsidP="0064493C">
      <w:pPr>
        <w:pStyle w:val="ListParagraph"/>
        <w:numPr>
          <w:ilvl w:val="0"/>
          <w:numId w:val="31"/>
        </w:numPr>
      </w:pPr>
      <w:r w:rsidRPr="006157D7">
        <w:t>Payment Redesign</w:t>
      </w:r>
    </w:p>
    <w:p w14:paraId="1D530ED8" w14:textId="4A08B838" w:rsidR="006157D7" w:rsidRDefault="006157D7" w:rsidP="006157D7">
      <w:pPr>
        <w:pStyle w:val="ListParagraph"/>
        <w:numPr>
          <w:ilvl w:val="1"/>
          <w:numId w:val="31"/>
        </w:numPr>
      </w:pPr>
      <w:r w:rsidRPr="006157D7">
        <w:t xml:space="preserve">Offer modest incentives to </w:t>
      </w:r>
      <w:r w:rsidR="000F1F74">
        <w:t>facilitate</w:t>
      </w:r>
      <w:r w:rsidRPr="006157D7">
        <w:t xml:space="preserve"> preoperative optimization for anemia and/or glycemic control for those with diabetes</w:t>
      </w:r>
    </w:p>
    <w:p w14:paraId="2F2118FF" w14:textId="23E82EAB" w:rsidR="0064493C" w:rsidRPr="006157D7" w:rsidRDefault="00C8608E" w:rsidP="002C2692">
      <w:pPr>
        <w:pStyle w:val="ListParagraph"/>
        <w:numPr>
          <w:ilvl w:val="1"/>
          <w:numId w:val="31"/>
        </w:numPr>
      </w:pPr>
      <w:r w:rsidRPr="006157D7">
        <w:t xml:space="preserve">Where feasible, integrate preoperative screening for anemia and glycemic control </w:t>
      </w:r>
      <w:r w:rsidR="002268B8" w:rsidRPr="006157D7">
        <w:t>into quality programs</w:t>
      </w:r>
      <w:r w:rsidR="0027421E" w:rsidRPr="006157D7">
        <w:t xml:space="preserve"> for surgical optimization</w:t>
      </w:r>
    </w:p>
    <w:p w14:paraId="764A6361" w14:textId="00BBB7ED" w:rsidR="00ED6A4F" w:rsidRPr="00677D58" w:rsidRDefault="002268B8" w:rsidP="002C2692">
      <w:pPr>
        <w:pStyle w:val="ListParagraph"/>
        <w:numPr>
          <w:ilvl w:val="1"/>
          <w:numId w:val="31"/>
        </w:numPr>
        <w:rPr>
          <w:strike/>
          <w:color w:val="EE0000"/>
        </w:rPr>
      </w:pPr>
      <w:r w:rsidRPr="00677D58">
        <w:rPr>
          <w:strike/>
          <w:color w:val="EE0000"/>
        </w:rPr>
        <w:t>Advanced payment models should embed preoperative screening and/or transfusions into bundle</w:t>
      </w:r>
      <w:r w:rsidR="00D42C5F" w:rsidRPr="00677D58">
        <w:rPr>
          <w:strike/>
          <w:color w:val="EE0000"/>
        </w:rPr>
        <w:t xml:space="preserve">s and shared savings contracts with </w:t>
      </w:r>
      <w:r w:rsidR="00A57333" w:rsidRPr="00677D58">
        <w:rPr>
          <w:strike/>
          <w:color w:val="EE0000"/>
        </w:rPr>
        <w:t>facilities and providers</w:t>
      </w:r>
    </w:p>
    <w:p w14:paraId="2C2FBD43" w14:textId="0A84BB34" w:rsidR="00E23A49" w:rsidRPr="007143FF" w:rsidRDefault="002F73E3" w:rsidP="002C2692">
      <w:pPr>
        <w:pStyle w:val="ListParagraph"/>
        <w:numPr>
          <w:ilvl w:val="2"/>
          <w:numId w:val="31"/>
        </w:numPr>
        <w:rPr>
          <w:color w:val="EE0000"/>
        </w:rPr>
      </w:pPr>
      <w:r w:rsidRPr="00677D58">
        <w:rPr>
          <w:strike/>
          <w:color w:val="EE0000"/>
        </w:rPr>
        <w:t>Target procedures that meet general principles defined</w:t>
      </w:r>
      <w:r w:rsidRPr="00677D58">
        <w:rPr>
          <w:color w:val="EE0000"/>
        </w:rPr>
        <w:t xml:space="preserve"> </w:t>
      </w:r>
      <w:hyperlink w:anchor="_Procedures" w:history="1">
        <w:r w:rsidRPr="006157D7">
          <w:rPr>
            <w:rStyle w:val="Hyperlink"/>
            <w:color w:val="0070C0"/>
          </w:rPr>
          <w:t>here</w:t>
        </w:r>
      </w:hyperlink>
      <w:r w:rsidRPr="006157D7">
        <w:rPr>
          <w:color w:val="0070C0"/>
        </w:rPr>
        <w:t xml:space="preserve">. </w:t>
      </w:r>
    </w:p>
    <w:p w14:paraId="379ADB9F" w14:textId="1D69B8C4" w:rsidR="007143FF" w:rsidRPr="007143FF" w:rsidRDefault="007143FF" w:rsidP="007143FF">
      <w:pPr>
        <w:pStyle w:val="ListParagraph"/>
        <w:numPr>
          <w:ilvl w:val="1"/>
          <w:numId w:val="31"/>
        </w:numPr>
        <w:rPr>
          <w:color w:val="EE0000"/>
        </w:rPr>
      </w:pPr>
      <w:r w:rsidRPr="008251E7">
        <w:rPr>
          <w:color w:val="EE0000"/>
        </w:rPr>
        <w:t>Consider paying separately for anemia optimization activities (screening, treatment to target Hb) rather than include in bundle arrangements</w:t>
      </w:r>
      <w:commentRangeStart w:id="36"/>
      <w:commentRangeEnd w:id="36"/>
      <w:r>
        <w:rPr>
          <w:rStyle w:val="CommentReference"/>
          <w:rFonts w:eastAsiaTheme="minorHAnsi"/>
          <w:kern w:val="2"/>
          <w:lang w:eastAsia="en-US"/>
          <w14:ligatures w14:val="standardContextual"/>
        </w:rPr>
        <w:commentReference w:id="36"/>
      </w:r>
    </w:p>
    <w:p w14:paraId="6DD06A8B" w14:textId="77777777" w:rsidR="00E55CD6" w:rsidRDefault="00E53C26" w:rsidP="00E53C26">
      <w:pPr>
        <w:pStyle w:val="ListParagraph"/>
        <w:numPr>
          <w:ilvl w:val="1"/>
          <w:numId w:val="31"/>
        </w:numPr>
      </w:pPr>
      <w:r>
        <w:t>Consider incentives for delivery systems that have accreditation from national organizations in patient blood management (e.g., The Joint Commission)</w:t>
      </w:r>
    </w:p>
    <w:p w14:paraId="0D65A257" w14:textId="7A29BFFB" w:rsidR="0027110E" w:rsidRDefault="00E55CD6" w:rsidP="00D06260">
      <w:pPr>
        <w:pStyle w:val="ListParagraph"/>
        <w:numPr>
          <w:ilvl w:val="1"/>
          <w:numId w:val="31"/>
        </w:numPr>
      </w:pPr>
      <w:r>
        <w:t>C</w:t>
      </w:r>
      <w:r w:rsidR="00E53C26">
        <w:t>onsider including requirement of preoperative anemia optimization and intraoperative glycemic control protocols in centers of excellence models for surgical centers (e.g., total hip/total knee replacement, spine surgery, etc.)</w:t>
      </w:r>
    </w:p>
    <w:p w14:paraId="2D9A2834" w14:textId="4B1FAC11" w:rsidR="00A3003D" w:rsidRPr="00D06260" w:rsidRDefault="00A3003D" w:rsidP="00A3003D">
      <w:pPr>
        <w:pStyle w:val="ListParagraph"/>
        <w:numPr>
          <w:ilvl w:val="1"/>
          <w:numId w:val="31"/>
        </w:numPr>
      </w:pPr>
      <w:r>
        <w:t>Minimize penalties for appropriate delay of procedure when optimization not achieved</w:t>
      </w:r>
    </w:p>
    <w:p w14:paraId="2DD4677F" w14:textId="77777777" w:rsidR="00A659AA" w:rsidRDefault="00A659AA" w:rsidP="00A659AA">
      <w:pPr>
        <w:pStyle w:val="Heading4"/>
      </w:pPr>
      <w:r>
        <w:t>Perioperative Glycemic Control</w:t>
      </w:r>
    </w:p>
    <w:p w14:paraId="13908594" w14:textId="77777777" w:rsidR="00A659AA" w:rsidRDefault="00A659AA" w:rsidP="00A659AA">
      <w:pPr>
        <w:pStyle w:val="ListParagraph"/>
        <w:numPr>
          <w:ilvl w:val="0"/>
          <w:numId w:val="12"/>
        </w:numPr>
        <w:spacing w:line="278" w:lineRule="auto"/>
      </w:pPr>
      <w:r>
        <w:t>Preoperative</w:t>
      </w:r>
    </w:p>
    <w:p w14:paraId="2A61328B" w14:textId="1D5C6D50" w:rsidR="00A659AA" w:rsidRPr="00446DCC" w:rsidRDefault="00FD5846" w:rsidP="00A659AA">
      <w:pPr>
        <w:pStyle w:val="ListParagraph"/>
        <w:numPr>
          <w:ilvl w:val="1"/>
          <w:numId w:val="12"/>
        </w:numPr>
        <w:spacing w:line="278" w:lineRule="auto"/>
      </w:pPr>
      <w:proofErr w:type="gramStart"/>
      <w:r w:rsidRPr="00446DCC">
        <w:lastRenderedPageBreak/>
        <w:t>Approve</w:t>
      </w:r>
      <w:proofErr w:type="gramEnd"/>
      <w:r w:rsidRPr="00446DCC">
        <w:t xml:space="preserve"> inpatient admission for major elective procedures for patients with HbA1c over </w:t>
      </w:r>
      <w:r w:rsidR="002E2D4A" w:rsidRPr="00446DCC">
        <w:t xml:space="preserve">9%  </w:t>
      </w:r>
    </w:p>
    <w:p w14:paraId="1FC18ED3" w14:textId="30B5B647" w:rsidR="00F578E4" w:rsidRDefault="00F578E4" w:rsidP="00A659AA">
      <w:pPr>
        <w:pStyle w:val="ListParagraph"/>
        <w:numPr>
          <w:ilvl w:val="1"/>
          <w:numId w:val="12"/>
        </w:numPr>
        <w:spacing w:line="278" w:lineRule="auto"/>
      </w:pPr>
      <w:r>
        <w:t>Cover telemedicine</w:t>
      </w:r>
      <w:r w:rsidR="004E3D75">
        <w:t>/virtual</w:t>
      </w:r>
      <w:r>
        <w:t xml:space="preserve"> </w:t>
      </w:r>
      <w:r w:rsidR="00181A18">
        <w:t>diabetes</w:t>
      </w:r>
      <w:r w:rsidR="00515757">
        <w:t>-</w:t>
      </w:r>
      <w:r w:rsidR="00181A18">
        <w:t>related visits</w:t>
      </w:r>
    </w:p>
    <w:p w14:paraId="49986D1E" w14:textId="5748C316" w:rsidR="00A659AA" w:rsidRPr="00FD2594" w:rsidRDefault="00515757" w:rsidP="00A659AA">
      <w:pPr>
        <w:pStyle w:val="ListParagraph"/>
        <w:numPr>
          <w:ilvl w:val="1"/>
          <w:numId w:val="12"/>
        </w:numPr>
        <w:spacing w:line="278" w:lineRule="auto"/>
      </w:pPr>
      <w:r>
        <w:t xml:space="preserve">Route patients with diabetes to care management team, and </w:t>
      </w:r>
      <w:r w:rsidR="007C4469">
        <w:t xml:space="preserve">outreach once procedure scheduled to </w:t>
      </w:r>
      <w:r w:rsidR="007C4469" w:rsidRPr="00FD2594">
        <w:t xml:space="preserve">support </w:t>
      </w:r>
      <w:r w:rsidR="00DB78A1" w:rsidRPr="00FD2594">
        <w:t xml:space="preserve">accessing outpatient services for diabetes (nutrition therapy, medication management, diabetes prevention program) </w:t>
      </w:r>
    </w:p>
    <w:p w14:paraId="13106403" w14:textId="5349B155" w:rsidR="00DB78A1" w:rsidRPr="00FD2594" w:rsidRDefault="00DB78A1" w:rsidP="00DB78A1">
      <w:pPr>
        <w:pStyle w:val="ListParagraph"/>
        <w:numPr>
          <w:ilvl w:val="2"/>
          <w:numId w:val="12"/>
        </w:numPr>
        <w:spacing w:line="278" w:lineRule="auto"/>
      </w:pPr>
      <w:r w:rsidRPr="00FD2594">
        <w:t xml:space="preserve">Arrange close follow-up </w:t>
      </w:r>
      <w:r w:rsidR="00410846" w:rsidRPr="00FD2594">
        <w:t xml:space="preserve">as possible </w:t>
      </w:r>
      <w:r w:rsidRPr="00FD2594">
        <w:t>within 3-7 days after major elective procedures for patients with</w:t>
      </w:r>
      <w:r w:rsidR="00E1357D" w:rsidRPr="00FD2594">
        <w:t xml:space="preserve"> </w:t>
      </w:r>
      <w:r w:rsidR="00446DCC" w:rsidRPr="00FD2594">
        <w:t>uncontrolled</w:t>
      </w:r>
      <w:r w:rsidRPr="00FD2594">
        <w:t xml:space="preserve"> diabetes</w:t>
      </w:r>
    </w:p>
    <w:p w14:paraId="779EE7B2" w14:textId="77777777" w:rsidR="00A659AA" w:rsidRPr="00FD2594" w:rsidRDefault="00A659AA" w:rsidP="00A659AA">
      <w:pPr>
        <w:pStyle w:val="ListParagraph"/>
        <w:numPr>
          <w:ilvl w:val="0"/>
          <w:numId w:val="12"/>
        </w:numPr>
        <w:spacing w:line="278" w:lineRule="auto"/>
      </w:pPr>
      <w:r w:rsidRPr="00FD2594">
        <w:t>Day of Surgery</w:t>
      </w:r>
    </w:p>
    <w:p w14:paraId="47FA074A" w14:textId="77777777" w:rsidR="00181A18" w:rsidRPr="00FD2594" w:rsidRDefault="00A659AA" w:rsidP="00A659AA">
      <w:pPr>
        <w:pStyle w:val="ListParagraph"/>
        <w:numPr>
          <w:ilvl w:val="1"/>
          <w:numId w:val="12"/>
        </w:numPr>
        <w:spacing w:line="278" w:lineRule="auto"/>
      </w:pPr>
      <w:r w:rsidRPr="00FD2594">
        <w:t xml:space="preserve">Incorporate day of blood glucose screening and treatment in coverage for </w:t>
      </w:r>
      <w:r w:rsidR="00C10DAE" w:rsidRPr="00FD2594">
        <w:t>major elective</w:t>
      </w:r>
      <w:r w:rsidRPr="00FD2594">
        <w:t xml:space="preserve"> procedures regardless of diabetes status</w:t>
      </w:r>
      <w:r w:rsidR="00A40CBB" w:rsidRPr="00FD2594">
        <w:t>.</w:t>
      </w:r>
    </w:p>
    <w:p w14:paraId="0CD80F9A" w14:textId="77777777" w:rsidR="00B41058" w:rsidRPr="00FD2594" w:rsidRDefault="00181A18" w:rsidP="00181A18">
      <w:pPr>
        <w:pStyle w:val="ListParagraph"/>
        <w:numPr>
          <w:ilvl w:val="0"/>
          <w:numId w:val="12"/>
        </w:numPr>
        <w:spacing w:line="278" w:lineRule="auto"/>
      </w:pPr>
      <w:r w:rsidRPr="00FD2594">
        <w:t>Postoperative</w:t>
      </w:r>
    </w:p>
    <w:p w14:paraId="3AEE6BB5" w14:textId="6850A61C" w:rsidR="00F840AE" w:rsidRPr="00FD2594" w:rsidRDefault="00F840AE" w:rsidP="00F840AE">
      <w:pPr>
        <w:pStyle w:val="ListParagraph"/>
        <w:numPr>
          <w:ilvl w:val="1"/>
          <w:numId w:val="12"/>
        </w:numPr>
        <w:spacing w:line="278" w:lineRule="auto"/>
      </w:pPr>
      <w:r w:rsidRPr="00FD2594">
        <w:t xml:space="preserve">Incorporate treatment for </w:t>
      </w:r>
      <w:proofErr w:type="gramStart"/>
      <w:r w:rsidRPr="00FD2594">
        <w:t>hyperglycemia that</w:t>
      </w:r>
      <w:proofErr w:type="gramEnd"/>
      <w:r w:rsidRPr="00FD2594">
        <w:t xml:space="preserve"> requires intravenous insulin</w:t>
      </w:r>
      <w:r w:rsidR="002C1A01" w:rsidRPr="00FD2594">
        <w:t xml:space="preserve"> infusion</w:t>
      </w:r>
      <w:r w:rsidRPr="00FD2594">
        <w:t xml:space="preserve"> </w:t>
      </w:r>
      <w:r w:rsidR="00ED549F" w:rsidRPr="00FD2594">
        <w:t xml:space="preserve">for those with type 2 diabetes as </w:t>
      </w:r>
      <w:r w:rsidRPr="00FD2594">
        <w:t xml:space="preserve">eligibility criteria for inpatient admission for procedures performed in an ambulatory setting. </w:t>
      </w:r>
    </w:p>
    <w:p w14:paraId="262B82AA" w14:textId="2692021D" w:rsidR="00A659AA" w:rsidRPr="00CD147A" w:rsidRDefault="00F840AE" w:rsidP="00491C6C">
      <w:pPr>
        <w:pStyle w:val="ListParagraph"/>
        <w:numPr>
          <w:ilvl w:val="1"/>
          <w:numId w:val="12"/>
        </w:numPr>
        <w:spacing w:line="278" w:lineRule="auto"/>
      </w:pPr>
      <w:r w:rsidRPr="00FD2594">
        <w:t>Consider outpatient hospital-based team that manages glucose for 3-7 days postop and facilitates transition to primary care instead of admission</w:t>
      </w:r>
      <w:r>
        <w:rPr>
          <w:color w:val="EE0000"/>
        </w:rPr>
        <w:t xml:space="preserve">. </w:t>
      </w:r>
    </w:p>
    <w:p w14:paraId="59D43AF5" w14:textId="07F425F5" w:rsidR="00856ABC" w:rsidRPr="00856ABC" w:rsidRDefault="00600A16" w:rsidP="00F20995">
      <w:pPr>
        <w:pStyle w:val="Heading4"/>
      </w:pPr>
      <w:r>
        <w:t>Preoperative Anemia Optimizatio</w:t>
      </w:r>
      <w:r w:rsidR="00F20995">
        <w:t>n</w:t>
      </w:r>
    </w:p>
    <w:p w14:paraId="2E8EA1A9" w14:textId="437F4320" w:rsidR="00856ABC" w:rsidRDefault="00856ABC" w:rsidP="00600A16">
      <w:pPr>
        <w:pStyle w:val="ListParagraph"/>
        <w:numPr>
          <w:ilvl w:val="0"/>
          <w:numId w:val="19"/>
        </w:numPr>
      </w:pPr>
      <w:r w:rsidRPr="00CE6ED9">
        <w:t>Remove requirement for prior authorization for intravenous iron formula</w:t>
      </w:r>
      <w:r w:rsidRPr="00FD2594">
        <w:t>tions that require fewer infusions</w:t>
      </w:r>
      <w:r w:rsidR="00CE6ED9" w:rsidRPr="00FD2594">
        <w:t xml:space="preserve">/have a </w:t>
      </w:r>
      <w:r w:rsidRPr="00FD2594">
        <w:t>shorter duration of administration</w:t>
      </w:r>
      <w:r w:rsidR="00F20995" w:rsidRPr="00FD2594">
        <w:t>, and lower cost to patients while maintaining effectiveness and safety</w:t>
      </w:r>
      <w:r w:rsidRPr="00FD2594">
        <w:t xml:space="preserve">. </w:t>
      </w:r>
      <w:r>
        <w:t xml:space="preserve">See </w:t>
      </w:r>
      <w:hyperlink w:anchor="_Appendix_F._Intravenous" w:history="1">
        <w:r w:rsidRPr="0003613B">
          <w:rPr>
            <w:rStyle w:val="Hyperlink"/>
            <w:b/>
            <w:bCs/>
          </w:rPr>
          <w:t>Appendix F</w:t>
        </w:r>
      </w:hyperlink>
      <w:r>
        <w:t xml:space="preserve"> for iron formulations.</w:t>
      </w:r>
    </w:p>
    <w:p w14:paraId="12790365" w14:textId="2E4BBFEB" w:rsidR="00600A16" w:rsidRPr="00FD2594" w:rsidRDefault="00600A16" w:rsidP="00600A16">
      <w:pPr>
        <w:pStyle w:val="ListParagraph"/>
        <w:numPr>
          <w:ilvl w:val="0"/>
          <w:numId w:val="19"/>
        </w:numPr>
      </w:pPr>
      <w:r w:rsidRPr="00FD2594">
        <w:t xml:space="preserve">Minimize cost-sharing for outpatient infusion </w:t>
      </w:r>
      <w:r w:rsidR="00E53C26" w:rsidRPr="00FD2594">
        <w:t>therapy</w:t>
      </w:r>
    </w:p>
    <w:p w14:paraId="4783EA8B" w14:textId="00C7AF96" w:rsidR="00600A16" w:rsidRDefault="00600A16" w:rsidP="00600A16">
      <w:pPr>
        <w:pStyle w:val="ListParagraph"/>
        <w:numPr>
          <w:ilvl w:val="0"/>
          <w:numId w:val="19"/>
        </w:numPr>
      </w:pPr>
      <w:r>
        <w:t xml:space="preserve">Ensure network adequacy for infusion centers as </w:t>
      </w:r>
      <w:r w:rsidR="00491C6C">
        <w:t>able</w:t>
      </w:r>
    </w:p>
    <w:p w14:paraId="5C278901" w14:textId="77777777" w:rsidR="00C10DAE" w:rsidRDefault="00C10DAE">
      <w:pPr>
        <w:rPr>
          <w:rFonts w:asciiTheme="majorHAnsi" w:eastAsiaTheme="majorEastAsia" w:hAnsiTheme="majorHAnsi" w:cstheme="majorBidi"/>
          <w:color w:val="0F4761" w:themeColor="accent1" w:themeShade="BF"/>
          <w:sz w:val="26"/>
          <w:szCs w:val="26"/>
        </w:rPr>
      </w:pPr>
      <w:bookmarkStart w:id="37" w:name="_Toc206580468"/>
      <w:r>
        <w:br w:type="page"/>
      </w:r>
    </w:p>
    <w:p w14:paraId="0F105D4C" w14:textId="7DCF15C5" w:rsidR="007A4A3F" w:rsidRPr="007D5418" w:rsidRDefault="007A4A3F" w:rsidP="00741FF2">
      <w:pPr>
        <w:pStyle w:val="Heading2"/>
        <w:rPr>
          <w:sz w:val="32"/>
          <w:szCs w:val="32"/>
        </w:rPr>
      </w:pPr>
      <w:bookmarkStart w:id="38" w:name="_Toc212542283"/>
      <w:commentRangeStart w:id="39"/>
      <w:r w:rsidRPr="007D5418">
        <w:rPr>
          <w:sz w:val="32"/>
          <w:szCs w:val="32"/>
        </w:rPr>
        <w:lastRenderedPageBreak/>
        <w:t>Employers</w:t>
      </w:r>
      <w:commentRangeEnd w:id="39"/>
      <w:r w:rsidR="007D5418">
        <w:rPr>
          <w:rStyle w:val="CommentReference"/>
          <w:rFonts w:asciiTheme="minorHAnsi" w:eastAsiaTheme="minorHAnsi" w:hAnsiTheme="minorHAnsi" w:cstheme="minorBidi"/>
          <w:color w:val="auto"/>
          <w:kern w:val="2"/>
          <w:lang w:eastAsia="en-US"/>
          <w14:ligatures w14:val="standardContextual"/>
        </w:rPr>
        <w:commentReference w:id="39"/>
      </w:r>
      <w:bookmarkEnd w:id="38"/>
    </w:p>
    <w:p w14:paraId="7519B4D6" w14:textId="68ECB7BD" w:rsidR="007A4A3F" w:rsidRDefault="007A4A3F" w:rsidP="00B7197F">
      <w:pPr>
        <w:pStyle w:val="ListParagraph"/>
        <w:numPr>
          <w:ilvl w:val="0"/>
          <w:numId w:val="32"/>
        </w:numPr>
      </w:pPr>
      <w:commentRangeStart w:id="40"/>
      <w:r>
        <w:t xml:space="preserve">Request benefit vendors include </w:t>
      </w:r>
      <w:r w:rsidR="0029275B">
        <w:t>strategies</w:t>
      </w:r>
      <w:r>
        <w:t xml:space="preserve"> to incent surgical optimization</w:t>
      </w:r>
      <w:r w:rsidR="006D6D56">
        <w:t xml:space="preserve">, </w:t>
      </w:r>
      <w:r w:rsidR="0029275B">
        <w:t>such as</w:t>
      </w:r>
      <w:r w:rsidR="006D6D56">
        <w:t xml:space="preserve"> pay for performance or shared savings models</w:t>
      </w:r>
      <w:commentRangeEnd w:id="40"/>
      <w:r w:rsidR="00816DA6">
        <w:rPr>
          <w:rStyle w:val="CommentReference"/>
          <w:rFonts w:eastAsiaTheme="minorHAnsi"/>
          <w:kern w:val="2"/>
          <w:lang w:eastAsia="en-US"/>
          <w14:ligatures w14:val="standardContextual"/>
        </w:rPr>
        <w:commentReference w:id="40"/>
      </w:r>
    </w:p>
    <w:p w14:paraId="238632C6" w14:textId="06A5B72A" w:rsidR="00805CA9" w:rsidRPr="004D4627" w:rsidRDefault="00805CA9" w:rsidP="00805CA9">
      <w:pPr>
        <w:pStyle w:val="ListParagraph"/>
        <w:numPr>
          <w:ilvl w:val="0"/>
          <w:numId w:val="32"/>
        </w:numPr>
        <w:rPr>
          <w:strike/>
        </w:rPr>
      </w:pPr>
      <w:r w:rsidRPr="004D4627">
        <w:rPr>
          <w:color w:val="EE0000"/>
        </w:rPr>
        <w:t xml:space="preserve">Where able, use centers of excellence for major procedures that include robust management for glycemic control and </w:t>
      </w:r>
      <w:r w:rsidR="00E828E6">
        <w:rPr>
          <w:color w:val="EE0000"/>
        </w:rPr>
        <w:t xml:space="preserve">anemia optimization </w:t>
      </w:r>
      <w:r w:rsidRPr="004D4627">
        <w:rPr>
          <w:strike/>
        </w:rPr>
        <w:t>anemia Inquire about center of excellence in surgery models and incorporate glycemic control and anemia optimization interventions</w:t>
      </w:r>
    </w:p>
    <w:p w14:paraId="0B7DFC6D" w14:textId="25C4153B" w:rsidR="00230F13" w:rsidRDefault="004F6DFA" w:rsidP="006D3F67">
      <w:pPr>
        <w:pStyle w:val="ListParagraph"/>
        <w:numPr>
          <w:ilvl w:val="0"/>
          <w:numId w:val="32"/>
        </w:numPr>
      </w:pPr>
      <w:r>
        <w:t xml:space="preserve">Require monitoring </w:t>
      </w:r>
      <w:r w:rsidR="00092223">
        <w:t>of preoperative screening fo</w:t>
      </w:r>
      <w:r w:rsidR="00DD7C5D">
        <w:t>r anemia and glycemic control</w:t>
      </w:r>
      <w:r w:rsidR="00DE787F">
        <w:t xml:space="preserve"> in health plan coverage of major surgical procedures</w:t>
      </w:r>
    </w:p>
    <w:p w14:paraId="53D01B07" w14:textId="5FCC134A" w:rsidR="0035069F" w:rsidRPr="001E4DDF" w:rsidRDefault="00A3003D" w:rsidP="001E4DDF">
      <w:pPr>
        <w:pStyle w:val="ListParagraph"/>
        <w:numPr>
          <w:ilvl w:val="0"/>
          <w:numId w:val="32"/>
        </w:numPr>
        <w:rPr>
          <w:color w:val="EE0000"/>
        </w:rPr>
      </w:pPr>
      <w:r>
        <w:t xml:space="preserve">Select performance measures related to </w:t>
      </w:r>
      <w:r w:rsidR="006305EE">
        <w:t>anemia and glycemic control for surgical quality (</w:t>
      </w:r>
      <w:r w:rsidR="009E2060">
        <w:t xml:space="preserve">e.g., </w:t>
      </w:r>
      <w:r w:rsidR="006305EE">
        <w:t xml:space="preserve">transfusion rate, </w:t>
      </w:r>
      <w:r w:rsidR="009E2060">
        <w:t>surgical site infection)</w:t>
      </w:r>
      <w:r w:rsidR="001E4DDF" w:rsidRPr="001E4DDF">
        <w:rPr>
          <w:color w:val="EE0000"/>
        </w:rPr>
        <w:t xml:space="preserve"> </w:t>
      </w:r>
      <w:r w:rsidR="001E4DDF" w:rsidRPr="00FB331B">
        <w:rPr>
          <w:color w:val="EE0000"/>
        </w:rPr>
        <w:t xml:space="preserve">See </w:t>
      </w:r>
      <w:hyperlink w:anchor="_Measurement" w:history="1">
        <w:r w:rsidR="001E4DDF" w:rsidRPr="00FB331B">
          <w:rPr>
            <w:rStyle w:val="Hyperlink"/>
          </w:rPr>
          <w:t>Measurement</w:t>
        </w:r>
      </w:hyperlink>
      <w:r w:rsidR="001E4DDF">
        <w:t xml:space="preserve"> </w:t>
      </w:r>
      <w:r w:rsidR="001E4DDF" w:rsidRPr="00FB331B">
        <w:rPr>
          <w:color w:val="EE0000"/>
        </w:rPr>
        <w:t xml:space="preserve">section for specifics. </w:t>
      </w:r>
    </w:p>
    <w:p w14:paraId="4134A10B" w14:textId="5E180FEB" w:rsidR="00741FF2" w:rsidRPr="00E222D9" w:rsidRDefault="00741FF2" w:rsidP="00741FF2">
      <w:pPr>
        <w:pStyle w:val="Heading2"/>
        <w:rPr>
          <w:sz w:val="32"/>
          <w:szCs w:val="32"/>
        </w:rPr>
      </w:pPr>
      <w:bookmarkStart w:id="41" w:name="_Toc212542284"/>
      <w:commentRangeStart w:id="42"/>
      <w:r w:rsidRPr="00E222D9">
        <w:rPr>
          <w:sz w:val="32"/>
          <w:szCs w:val="32"/>
        </w:rPr>
        <w:t>Washington Health Care Authority</w:t>
      </w:r>
      <w:bookmarkEnd w:id="37"/>
      <w:commentRangeEnd w:id="42"/>
      <w:r w:rsidR="00D07B79">
        <w:rPr>
          <w:rStyle w:val="CommentReference"/>
          <w:rFonts w:asciiTheme="minorHAnsi" w:eastAsiaTheme="minorHAnsi" w:hAnsiTheme="minorHAnsi" w:cstheme="minorBidi"/>
          <w:color w:val="auto"/>
          <w:kern w:val="2"/>
          <w:lang w:eastAsia="en-US"/>
          <w14:ligatures w14:val="standardContextual"/>
        </w:rPr>
        <w:commentReference w:id="42"/>
      </w:r>
      <w:bookmarkEnd w:id="41"/>
    </w:p>
    <w:p w14:paraId="20B52C9F" w14:textId="77777777" w:rsidR="00CC3315" w:rsidRDefault="00741FF2" w:rsidP="009E2060">
      <w:pPr>
        <w:pStyle w:val="ListParagraph"/>
        <w:numPr>
          <w:ilvl w:val="0"/>
          <w:numId w:val="20"/>
        </w:numPr>
      </w:pPr>
      <w:r>
        <w:t xml:space="preserve">Consider </w:t>
      </w:r>
      <w:r w:rsidR="266DFBD8">
        <w:t>support</w:t>
      </w:r>
      <w:r>
        <w:t xml:space="preserve">ing </w:t>
      </w:r>
      <w:r w:rsidR="2BC34173">
        <w:t>the creation of</w:t>
      </w:r>
      <w:r>
        <w:t xml:space="preserve"> patient decision aid</w:t>
      </w:r>
      <w:r w:rsidR="5BC4D5C0">
        <w:t>s</w:t>
      </w:r>
      <w:r>
        <w:t xml:space="preserve"> on presurgical optimization, including</w:t>
      </w:r>
      <w:r w:rsidR="00CC3315">
        <w:t>:</w:t>
      </w:r>
    </w:p>
    <w:p w14:paraId="6CB93550" w14:textId="6B880EB8" w:rsidR="00CC3315" w:rsidRDefault="00CC3315" w:rsidP="00CC3315">
      <w:pPr>
        <w:pStyle w:val="ListParagraph"/>
        <w:numPr>
          <w:ilvl w:val="1"/>
          <w:numId w:val="20"/>
        </w:numPr>
      </w:pPr>
      <w:r>
        <w:t>I</w:t>
      </w:r>
      <w:r>
        <w:t>mportance of addressing conditions like diabetes and anemia</w:t>
      </w:r>
      <w:r>
        <w:t xml:space="preserve"> preoperatively</w:t>
      </w:r>
    </w:p>
    <w:p w14:paraId="1B1301A2" w14:textId="6DCAEC11" w:rsidR="00741FF2" w:rsidRDefault="00CC3315" w:rsidP="00CC3315">
      <w:pPr>
        <w:pStyle w:val="ListParagraph"/>
        <w:numPr>
          <w:ilvl w:val="1"/>
          <w:numId w:val="20"/>
        </w:numPr>
      </w:pPr>
      <w:r>
        <w:t>Encouragement to get tested early as possible before surgery and why</w:t>
      </w:r>
    </w:p>
    <w:p w14:paraId="5C7CE7EC" w14:textId="0F155A44" w:rsidR="00773EC6" w:rsidRDefault="00773EC6" w:rsidP="00741FF2">
      <w:pPr>
        <w:pStyle w:val="Heading2"/>
        <w:rPr>
          <w:sz w:val="32"/>
          <w:szCs w:val="32"/>
        </w:rPr>
      </w:pPr>
      <w:r>
        <w:br w:type="page"/>
      </w:r>
    </w:p>
    <w:p w14:paraId="205243CA" w14:textId="726E0F1A" w:rsidR="006A316B" w:rsidRPr="0049148F" w:rsidRDefault="00C00C0C" w:rsidP="00827F81">
      <w:pPr>
        <w:pStyle w:val="Heading1"/>
        <w:rPr>
          <w:sz w:val="40"/>
          <w:szCs w:val="40"/>
        </w:rPr>
      </w:pPr>
      <w:bookmarkStart w:id="43" w:name="_Toc206580469"/>
      <w:bookmarkStart w:id="44" w:name="_Toc212542285"/>
      <w:r w:rsidRPr="0049148F">
        <w:rPr>
          <w:sz w:val="40"/>
          <w:szCs w:val="40"/>
        </w:rPr>
        <w:lastRenderedPageBreak/>
        <w:t>Background</w:t>
      </w:r>
      <w:bookmarkEnd w:id="43"/>
      <w:bookmarkEnd w:id="44"/>
    </w:p>
    <w:p w14:paraId="501B362A" w14:textId="43F17987" w:rsidR="0086305C" w:rsidRPr="007032F0" w:rsidRDefault="00FF241E" w:rsidP="002A2FFD">
      <w:pPr>
        <w:rPr>
          <w:color w:val="000000" w:themeColor="text1"/>
        </w:rPr>
      </w:pPr>
      <w:r w:rsidRPr="007032F0">
        <w:rPr>
          <w:color w:val="000000" w:themeColor="text1"/>
        </w:rPr>
        <w:t>Optimizing modifiable risk factors before surgery is essential to improving patient outcomes and reducing complications. Among the most prevalent and impactful of these are perioperative hyperglycemia and preoperative anemia, both of which independently increase the risk of infection, longer hospital stays, and mortality.</w:t>
      </w:r>
      <w:r w:rsidR="00127291" w:rsidRPr="007032F0">
        <w:rPr>
          <w:color w:val="000000" w:themeColor="text1"/>
        </w:rPr>
        <w:t xml:space="preserve"> While common occurrences</w:t>
      </w:r>
      <w:r w:rsidRPr="007032F0">
        <w:rPr>
          <w:color w:val="000000" w:themeColor="text1"/>
        </w:rPr>
        <w:t xml:space="preserve">, hyperglycemia in patients </w:t>
      </w:r>
      <w:r w:rsidR="00127291" w:rsidRPr="007032F0">
        <w:rPr>
          <w:color w:val="000000" w:themeColor="text1"/>
        </w:rPr>
        <w:t>with and without</w:t>
      </w:r>
      <w:r w:rsidRPr="007032F0">
        <w:rPr>
          <w:color w:val="000000" w:themeColor="text1"/>
        </w:rPr>
        <w:t xml:space="preserve"> diabetes and anemia across surgical populations remain underrecognized and undertreated. </w:t>
      </w:r>
      <w:r w:rsidR="00127291" w:rsidRPr="007032F0">
        <w:rPr>
          <w:color w:val="000000" w:themeColor="text1"/>
        </w:rPr>
        <w:t>Proactive</w:t>
      </w:r>
      <w:r w:rsidRPr="007032F0">
        <w:rPr>
          <w:color w:val="000000" w:themeColor="text1"/>
        </w:rPr>
        <w:t xml:space="preserve"> screening, timely intervention, and coordinated care pathways can meaningfully reduce surgical risk</w:t>
      </w:r>
      <w:r w:rsidR="00127291" w:rsidRPr="007032F0">
        <w:rPr>
          <w:color w:val="000000" w:themeColor="text1"/>
        </w:rPr>
        <w:t>, and provide improved outcomes.</w:t>
      </w:r>
    </w:p>
    <w:p w14:paraId="7A887355" w14:textId="4510DCEC" w:rsidR="00822E15" w:rsidRPr="0049148F" w:rsidRDefault="00822E15" w:rsidP="00822E15">
      <w:pPr>
        <w:pStyle w:val="Heading2"/>
        <w:rPr>
          <w:sz w:val="32"/>
          <w:szCs w:val="32"/>
        </w:rPr>
      </w:pPr>
      <w:bookmarkStart w:id="45" w:name="_Toc212542286"/>
      <w:r w:rsidRPr="0049148F">
        <w:rPr>
          <w:sz w:val="32"/>
          <w:szCs w:val="32"/>
        </w:rPr>
        <w:t>Glycemic Control</w:t>
      </w:r>
      <w:bookmarkEnd w:id="45"/>
    </w:p>
    <w:p w14:paraId="1E3D9AB4" w14:textId="4291B39B" w:rsidR="002A2FFD" w:rsidRPr="007032F0" w:rsidRDefault="00127291" w:rsidP="002A2FFD">
      <w:pPr>
        <w:rPr>
          <w:color w:val="000000" w:themeColor="text1"/>
        </w:rPr>
      </w:pPr>
      <w:r w:rsidRPr="005021B2">
        <w:rPr>
          <w:b/>
          <w:bCs/>
          <w:color w:val="000000" w:themeColor="text1"/>
        </w:rPr>
        <w:t>Intraoperative hyperglycemia</w:t>
      </w:r>
      <w:r w:rsidR="002A2FFD" w:rsidRPr="005021B2">
        <w:rPr>
          <w:b/>
          <w:bCs/>
          <w:color w:val="000000" w:themeColor="text1"/>
        </w:rPr>
        <w:t xml:space="preserve"> is linked to </w:t>
      </w:r>
      <w:r w:rsidRPr="005021B2">
        <w:rPr>
          <w:b/>
          <w:bCs/>
          <w:color w:val="000000" w:themeColor="text1"/>
        </w:rPr>
        <w:t xml:space="preserve">increased </w:t>
      </w:r>
      <w:r w:rsidR="002A2FFD" w:rsidRPr="005021B2">
        <w:rPr>
          <w:b/>
          <w:bCs/>
          <w:color w:val="000000" w:themeColor="text1"/>
        </w:rPr>
        <w:t>complications such as surgical site infection, systemic infection, hospital length of stay, morbidity and mortality</w:t>
      </w:r>
      <w:r w:rsidRPr="005021B2">
        <w:rPr>
          <w:b/>
          <w:bCs/>
          <w:color w:val="000000" w:themeColor="text1"/>
        </w:rPr>
        <w:t xml:space="preserve"> across a range of surgical procedure types</w:t>
      </w:r>
      <w:r w:rsidR="002A2FFD" w:rsidRPr="007032F0">
        <w:rPr>
          <w:color w:val="000000" w:themeColor="text1"/>
        </w:rPr>
        <w:t>.</w:t>
      </w:r>
      <w:r w:rsidR="003663AA">
        <w:rPr>
          <w:rFonts w:ascii="ZWAdobeF" w:hAnsi="ZWAdobeF" w:cs="ZWAdobeF"/>
          <w:sz w:val="2"/>
          <w:szCs w:val="2"/>
        </w:rPr>
        <w:t>10F</w:t>
      </w:r>
      <w:r w:rsidR="002A2FFD" w:rsidRPr="007032F0">
        <w:rPr>
          <w:rStyle w:val="EndnoteReference"/>
          <w:color w:val="000000" w:themeColor="text1"/>
        </w:rPr>
        <w:endnoteReference w:id="15"/>
      </w:r>
      <w:r w:rsidR="002A2FFD" w:rsidRPr="007032F0">
        <w:rPr>
          <w:color w:val="000000" w:themeColor="text1"/>
        </w:rPr>
        <w:t xml:space="preserve"> Screening for diabetes as a risk factor for surgery is common, as it's known that increased HbA1c (&gt;8%) increases risk for infection and other</w:t>
      </w:r>
      <w:r w:rsidR="000B7393" w:rsidRPr="007032F0">
        <w:rPr>
          <w:color w:val="000000" w:themeColor="text1"/>
        </w:rPr>
        <w:t xml:space="preserve"> postoperative</w:t>
      </w:r>
      <w:r w:rsidR="002A2FFD" w:rsidRPr="007032F0">
        <w:rPr>
          <w:color w:val="000000" w:themeColor="text1"/>
        </w:rPr>
        <w:t xml:space="preserve"> complications.</w:t>
      </w:r>
      <w:r w:rsidR="003663AA">
        <w:rPr>
          <w:rFonts w:ascii="ZWAdobeF" w:hAnsi="ZWAdobeF" w:cs="ZWAdobeF"/>
          <w:sz w:val="2"/>
          <w:szCs w:val="2"/>
        </w:rPr>
        <w:t>11F</w:t>
      </w:r>
      <w:r w:rsidR="002A2FFD" w:rsidRPr="007032F0">
        <w:rPr>
          <w:rStyle w:val="EndnoteReference"/>
          <w:color w:val="000000" w:themeColor="text1"/>
        </w:rPr>
        <w:endnoteReference w:id="16"/>
      </w:r>
      <w:r w:rsidR="002A2FFD" w:rsidRPr="007032F0">
        <w:rPr>
          <w:color w:val="000000" w:themeColor="text1"/>
        </w:rPr>
        <w:t xml:space="preserve">  However, patients without diabetes also commonly experience </w:t>
      </w:r>
      <w:r w:rsidR="00FB6856" w:rsidRPr="007032F0">
        <w:rPr>
          <w:color w:val="000000" w:themeColor="text1"/>
        </w:rPr>
        <w:t xml:space="preserve">intraoperative </w:t>
      </w:r>
      <w:r w:rsidR="002A2FFD" w:rsidRPr="007032F0">
        <w:rPr>
          <w:color w:val="000000" w:themeColor="text1"/>
        </w:rPr>
        <w:t>hyperglycemia</w:t>
      </w:r>
      <w:r w:rsidR="003663AA">
        <w:rPr>
          <w:rFonts w:ascii="ZWAdobeF" w:hAnsi="ZWAdobeF" w:cs="ZWAdobeF"/>
          <w:sz w:val="2"/>
          <w:szCs w:val="2"/>
        </w:rPr>
        <w:t>12F</w:t>
      </w:r>
      <w:r w:rsidR="002A2FFD" w:rsidRPr="007032F0">
        <w:rPr>
          <w:rStyle w:val="EndnoteReference"/>
          <w:color w:val="000000" w:themeColor="text1"/>
        </w:rPr>
        <w:endnoteReference w:id="17"/>
      </w:r>
      <w:r w:rsidR="002A2FFD" w:rsidRPr="007032F0">
        <w:rPr>
          <w:color w:val="000000" w:themeColor="text1"/>
        </w:rPr>
        <w:t>, and often experience worse outcomes than patients with diabetes.</w:t>
      </w:r>
      <w:r w:rsidR="003663AA">
        <w:rPr>
          <w:rFonts w:ascii="ZWAdobeF" w:hAnsi="ZWAdobeF" w:cs="ZWAdobeF"/>
          <w:sz w:val="2"/>
          <w:szCs w:val="2"/>
        </w:rPr>
        <w:t>13F</w:t>
      </w:r>
      <w:r w:rsidR="002A2FFD" w:rsidRPr="007032F0">
        <w:rPr>
          <w:rStyle w:val="EndnoteReference"/>
          <w:color w:val="000000" w:themeColor="text1"/>
        </w:rPr>
        <w:endnoteReference w:id="18"/>
      </w:r>
      <w:r w:rsidR="002A2FFD" w:rsidRPr="007032F0">
        <w:rPr>
          <w:color w:val="000000" w:themeColor="text1"/>
        </w:rPr>
        <w:t xml:space="preserve"> Patients without diabetes are less likely to receive insulin perioperatively</w:t>
      </w:r>
      <w:r w:rsidR="005778E4" w:rsidRPr="007032F0">
        <w:rPr>
          <w:color w:val="000000" w:themeColor="text1"/>
        </w:rPr>
        <w:t>,</w:t>
      </w:r>
      <w:r w:rsidR="003663AA">
        <w:rPr>
          <w:rFonts w:ascii="ZWAdobeF" w:hAnsi="ZWAdobeF" w:cs="ZWAdobeF"/>
          <w:sz w:val="2"/>
          <w:szCs w:val="2"/>
        </w:rPr>
        <w:t>14F</w:t>
      </w:r>
      <w:r w:rsidR="002A2FFD" w:rsidRPr="007032F0">
        <w:rPr>
          <w:rStyle w:val="EndnoteReference"/>
          <w:color w:val="000000" w:themeColor="text1"/>
        </w:rPr>
        <w:endnoteReference w:id="19"/>
      </w:r>
      <w:r w:rsidR="002A2FFD" w:rsidRPr="007032F0">
        <w:rPr>
          <w:color w:val="000000" w:themeColor="text1"/>
        </w:rPr>
        <w:t xml:space="preserve"> </w:t>
      </w:r>
      <w:r w:rsidR="005778E4" w:rsidRPr="007032F0">
        <w:rPr>
          <w:color w:val="000000" w:themeColor="text1"/>
        </w:rPr>
        <w:t>even when doing so can reduce postoperative complications</w:t>
      </w:r>
      <w:r w:rsidR="002A2FFD" w:rsidRPr="007032F0">
        <w:rPr>
          <w:color w:val="000000" w:themeColor="text1"/>
        </w:rPr>
        <w:t xml:space="preserve">. </w:t>
      </w:r>
      <w:r w:rsidR="003663AA">
        <w:rPr>
          <w:rFonts w:ascii="ZWAdobeF" w:hAnsi="ZWAdobeF" w:cs="ZWAdobeF"/>
          <w:sz w:val="2"/>
          <w:szCs w:val="2"/>
        </w:rPr>
        <w:t>15F</w:t>
      </w:r>
      <w:r w:rsidR="002A2FFD" w:rsidRPr="007032F0">
        <w:rPr>
          <w:rStyle w:val="EndnoteReference"/>
          <w:color w:val="000000" w:themeColor="text1"/>
        </w:rPr>
        <w:endnoteReference w:id="20"/>
      </w:r>
      <w:r w:rsidR="002A2FFD" w:rsidRPr="007032F0">
        <w:rPr>
          <w:color w:val="000000" w:themeColor="text1"/>
        </w:rPr>
        <w:t xml:space="preserve"> </w:t>
      </w:r>
    </w:p>
    <w:p w14:paraId="1D07EF4D" w14:textId="32650CFD" w:rsidR="00734484" w:rsidRPr="007032F0" w:rsidRDefault="002A2FFD" w:rsidP="002A2FFD">
      <w:pPr>
        <w:rPr>
          <w:color w:val="000000" w:themeColor="text1"/>
        </w:rPr>
      </w:pPr>
      <w:r w:rsidRPr="007032F0">
        <w:rPr>
          <w:color w:val="000000" w:themeColor="text1"/>
        </w:rPr>
        <w:t>While the exact best target glucose level is unknown perioperatively, most guidelines set a range between 100-110 mg/dL and 180 mg/dL.</w:t>
      </w:r>
      <w:r w:rsidR="003663AA">
        <w:rPr>
          <w:rFonts w:ascii="ZWAdobeF" w:hAnsi="ZWAdobeF" w:cs="ZWAdobeF"/>
          <w:sz w:val="2"/>
          <w:szCs w:val="2"/>
        </w:rPr>
        <w:t>16F</w:t>
      </w:r>
      <w:r w:rsidRPr="007032F0">
        <w:rPr>
          <w:rStyle w:val="EndnoteReference"/>
          <w:color w:val="000000" w:themeColor="text1"/>
        </w:rPr>
        <w:endnoteReference w:id="21"/>
      </w:r>
      <w:r w:rsidRPr="007032F0">
        <w:rPr>
          <w:color w:val="000000" w:themeColor="text1"/>
        </w:rPr>
        <w:t xml:space="preserve"> For patients with diabetes, intensive glucose control (&lt;120mg/dL versus &lt;160mg/dL) </w:t>
      </w:r>
      <w:r w:rsidRPr="007032F0">
        <w:rPr>
          <w:b/>
          <w:bCs/>
          <w:color w:val="000000" w:themeColor="text1"/>
        </w:rPr>
        <w:t>does not reduce infections</w:t>
      </w:r>
      <w:r w:rsidRPr="007032F0">
        <w:rPr>
          <w:color w:val="000000" w:themeColor="text1"/>
        </w:rPr>
        <w:t>, length of stay or all-cause mortality.</w:t>
      </w:r>
      <w:r w:rsidR="003663AA">
        <w:rPr>
          <w:rFonts w:ascii="ZWAdobeF" w:hAnsi="ZWAdobeF" w:cs="ZWAdobeF"/>
          <w:sz w:val="2"/>
          <w:szCs w:val="2"/>
        </w:rPr>
        <w:t>17F</w:t>
      </w:r>
      <w:r w:rsidRPr="007032F0">
        <w:rPr>
          <w:rStyle w:val="EndnoteReference"/>
          <w:color w:val="000000" w:themeColor="text1"/>
        </w:rPr>
        <w:endnoteReference w:id="22"/>
      </w:r>
      <w:r w:rsidRPr="007032F0">
        <w:rPr>
          <w:color w:val="000000" w:themeColor="text1"/>
        </w:rPr>
        <w:t xml:space="preserve">  </w:t>
      </w:r>
    </w:p>
    <w:p w14:paraId="5A2E99E5" w14:textId="5D34C9A4" w:rsidR="00734484" w:rsidRDefault="00734484" w:rsidP="00734484">
      <w:r w:rsidRPr="005021B2">
        <w:rPr>
          <w:b/>
          <w:bCs/>
        </w:rPr>
        <w:t>It is recommended that patients undergo assessment of glycemic status well in advance of surgery</w:t>
      </w:r>
      <w:r>
        <w:t xml:space="preserve">, with particular attention paid to identifying undiagnosed diabetes or poorly controlled hyperglycemia. </w:t>
      </w:r>
      <w:r w:rsidR="00F471CB">
        <w:t xml:space="preserve">Delivery systems can improve patient outcomes by introducing proactive screening protocols, </w:t>
      </w:r>
      <w:r w:rsidR="007032F0">
        <w:t>educating patients about the importance of preoperative glycemic optimization, and providing referrals for assistance through nutrition therapy and counseling as well as resources to support access to healthy foods.</w:t>
      </w:r>
      <w:r>
        <w:t xml:space="preserve"> Clear thresholds for postponing elective surgery, such as persistent blood glucose above 180 mg/dL or inability to stabilize hyperglycemia, should be defined, and multidisciplinary teams should coordinate closely to optimize glycemic status prior to the procedure. </w:t>
      </w:r>
    </w:p>
    <w:p w14:paraId="16847C80" w14:textId="519DB3F7" w:rsidR="00764A50" w:rsidRPr="00764A50" w:rsidRDefault="00764A50" w:rsidP="00734484">
      <w:pPr>
        <w:rPr>
          <w:color w:val="EE0000"/>
        </w:rPr>
      </w:pPr>
      <w:r w:rsidRPr="007B202C">
        <w:rPr>
          <w:b/>
          <w:bCs/>
          <w:color w:val="EE0000"/>
        </w:rPr>
        <w:t xml:space="preserve">The workgroup also recommends </w:t>
      </w:r>
      <w:r>
        <w:rPr>
          <w:b/>
          <w:bCs/>
          <w:color w:val="EE0000"/>
        </w:rPr>
        <w:t>routine</w:t>
      </w:r>
      <w:r w:rsidRPr="007B202C">
        <w:rPr>
          <w:b/>
          <w:bCs/>
          <w:color w:val="EE0000"/>
        </w:rPr>
        <w:t xml:space="preserve"> day</w:t>
      </w:r>
      <w:r>
        <w:rPr>
          <w:b/>
          <w:bCs/>
          <w:color w:val="EE0000"/>
        </w:rPr>
        <w:t>-</w:t>
      </w:r>
      <w:r w:rsidRPr="007B202C">
        <w:rPr>
          <w:b/>
          <w:bCs/>
          <w:color w:val="EE0000"/>
        </w:rPr>
        <w:t xml:space="preserve">of fasting blood glucose screening and post-operative screening for those undergoing major surgery. </w:t>
      </w:r>
      <w:r>
        <w:rPr>
          <w:color w:val="EE0000"/>
        </w:rPr>
        <w:t>Professional</w:t>
      </w:r>
      <w:r w:rsidRPr="00FF7AD7">
        <w:rPr>
          <w:color w:val="EE0000"/>
        </w:rPr>
        <w:t xml:space="preserve"> societies recommend aiming for a preoperative glucose in the ~100–180 mg/dL range.</w:t>
      </w:r>
      <w:r>
        <w:rPr>
          <w:rStyle w:val="EndnoteReference"/>
          <w:color w:val="EE0000"/>
        </w:rPr>
        <w:endnoteReference w:id="23"/>
      </w:r>
      <w:r w:rsidRPr="00DF610E">
        <w:rPr>
          <w:color w:val="EE0000"/>
          <w:vertAlign w:val="superscript"/>
        </w:rPr>
        <w:t>,</w:t>
      </w:r>
      <w:r>
        <w:rPr>
          <w:rStyle w:val="EndnoteReference"/>
          <w:color w:val="EE0000"/>
        </w:rPr>
        <w:endnoteReference w:id="24"/>
      </w:r>
      <w:r w:rsidRPr="00FF7AD7">
        <w:rPr>
          <w:color w:val="EE0000"/>
        </w:rPr>
        <w:t xml:space="preserve"> </w:t>
      </w:r>
      <w:r w:rsidRPr="00FF7AD7">
        <w:rPr>
          <w:color w:val="EE0000"/>
        </w:rPr>
        <w:lastRenderedPageBreak/>
        <w:t xml:space="preserve">Intraoperatively and during the first 24 hours after major operations, </w:t>
      </w:r>
      <w:r w:rsidR="005021B2">
        <w:rPr>
          <w:color w:val="EE0000"/>
        </w:rPr>
        <w:t>healthcare teams should obtain</w:t>
      </w:r>
      <w:r w:rsidRPr="00FF7AD7">
        <w:rPr>
          <w:color w:val="EE0000"/>
        </w:rPr>
        <w:t xml:space="preserve"> periodic glucose measurements (frequency depending on case risk and anesthesia/ICU setting) because even transient stress hyperglycemia is associated with higher surgical-site infection and other complications.</w:t>
      </w:r>
      <w:r>
        <w:rPr>
          <w:rStyle w:val="EndnoteReference"/>
          <w:color w:val="EE0000"/>
        </w:rPr>
        <w:endnoteReference w:id="25"/>
      </w:r>
      <w:r w:rsidRPr="005A1891">
        <w:rPr>
          <w:color w:val="EE0000"/>
          <w:vertAlign w:val="superscript"/>
        </w:rPr>
        <w:t>,</w:t>
      </w:r>
      <w:r>
        <w:rPr>
          <w:rStyle w:val="EndnoteReference"/>
          <w:color w:val="EE0000"/>
        </w:rPr>
        <w:endnoteReference w:id="26"/>
      </w:r>
      <w:r w:rsidRPr="00FF7AD7">
        <w:rPr>
          <w:color w:val="EE0000"/>
        </w:rPr>
        <w:t xml:space="preserve"> </w:t>
      </w:r>
      <w:r w:rsidR="005021B2">
        <w:rPr>
          <w:color w:val="EE0000"/>
        </w:rPr>
        <w:t>Teams should t</w:t>
      </w:r>
      <w:r w:rsidRPr="00FF7AD7">
        <w:rPr>
          <w:color w:val="EE0000"/>
        </w:rPr>
        <w:t xml:space="preserve">reat persistent in-hospital hyperglycemia (commonly defined as glucose ≥180 mg/dL) with insulin (correctional or scheduled basal/bolus regimens per institutional protocols, and IV insulin for unstable/critical patients), rather than waiting for a diabetes diagnosis, </w:t>
      </w:r>
      <w:r w:rsidRPr="00FF7AD7">
        <w:rPr>
          <w:b/>
          <w:bCs/>
          <w:color w:val="EE0000"/>
        </w:rPr>
        <w:t>since non-diabetic patients with stress hyperglycemia have been shown to experience disproportionately worse postoperative outcomes and are frequently undertreated</w:t>
      </w:r>
      <w:r w:rsidRPr="00FF7AD7">
        <w:rPr>
          <w:color w:val="EE0000"/>
        </w:rPr>
        <w:t>.</w:t>
      </w:r>
      <w:r>
        <w:rPr>
          <w:rStyle w:val="EndnoteReference"/>
          <w:color w:val="EE0000"/>
        </w:rPr>
        <w:endnoteReference w:id="27"/>
      </w:r>
      <w:r w:rsidRPr="00FF7AD7">
        <w:rPr>
          <w:color w:val="EE0000"/>
        </w:rPr>
        <w:t xml:space="preserve"> Finally, </w:t>
      </w:r>
      <w:r w:rsidR="005021B2">
        <w:rPr>
          <w:color w:val="EE0000"/>
        </w:rPr>
        <w:t xml:space="preserve">clinicians should </w:t>
      </w:r>
      <w:r w:rsidRPr="00FF7AD7">
        <w:rPr>
          <w:color w:val="EE0000"/>
        </w:rPr>
        <w:t xml:space="preserve">document follow-up plans (repeat glucose checks after discharge, consider outpatient diabetes evaluation if hyperglycemia persists) </w:t>
      </w:r>
      <w:r>
        <w:rPr>
          <w:color w:val="EE0000"/>
        </w:rPr>
        <w:t>as</w:t>
      </w:r>
      <w:r w:rsidRPr="00FF7AD7">
        <w:rPr>
          <w:color w:val="EE0000"/>
        </w:rPr>
        <w:t xml:space="preserve"> perioperative hyperglycemia can unmask undiagnosed diabetes or indicate need for new outpatient management.</w:t>
      </w:r>
      <w:r>
        <w:rPr>
          <w:rStyle w:val="EndnoteReference"/>
          <w:color w:val="EE0000"/>
        </w:rPr>
        <w:endnoteReference w:id="28"/>
      </w:r>
      <w:r w:rsidRPr="00CF4E87">
        <w:rPr>
          <w:color w:val="EE0000"/>
          <w:vertAlign w:val="superscript"/>
        </w:rPr>
        <w:t>,</w:t>
      </w:r>
      <w:r>
        <w:rPr>
          <w:rStyle w:val="EndnoteReference"/>
          <w:color w:val="EE0000"/>
        </w:rPr>
        <w:endnoteReference w:id="29"/>
      </w:r>
    </w:p>
    <w:p w14:paraId="71D8EE55" w14:textId="0B23D45D" w:rsidR="00822E15" w:rsidRPr="0049148F" w:rsidRDefault="00822E15" w:rsidP="00822E15">
      <w:pPr>
        <w:pStyle w:val="Heading2"/>
        <w:rPr>
          <w:sz w:val="32"/>
          <w:szCs w:val="32"/>
        </w:rPr>
      </w:pPr>
      <w:bookmarkStart w:id="46" w:name="_Toc212542287"/>
      <w:r w:rsidRPr="0049148F">
        <w:rPr>
          <w:sz w:val="32"/>
          <w:szCs w:val="32"/>
        </w:rPr>
        <w:t>Anemia</w:t>
      </w:r>
      <w:bookmarkEnd w:id="46"/>
    </w:p>
    <w:p w14:paraId="5F58CB73" w14:textId="68EE1792" w:rsidR="009C1DFE" w:rsidRDefault="009C1DFE" w:rsidP="009C1DFE">
      <w:r w:rsidRPr="005021B2">
        <w:rPr>
          <w:b/>
          <w:bCs/>
        </w:rPr>
        <w:t xml:space="preserve">Anemia </w:t>
      </w:r>
      <w:r w:rsidR="00822E15" w:rsidRPr="005021B2">
        <w:rPr>
          <w:b/>
          <w:bCs/>
        </w:rPr>
        <w:t>e</w:t>
      </w:r>
      <w:r w:rsidRPr="005021B2">
        <w:rPr>
          <w:b/>
          <w:bCs/>
        </w:rPr>
        <w:t>stimated prevalence ranges from about 20-40%, and patients assigned female at birth and those of advanced age (70+) are more likely to have anemia</w:t>
      </w:r>
      <w:r>
        <w:t>.</w:t>
      </w:r>
      <w:r w:rsidR="003663AA">
        <w:rPr>
          <w:rFonts w:ascii="ZWAdobeF" w:hAnsi="ZWAdobeF" w:cs="ZWAdobeF"/>
          <w:sz w:val="2"/>
          <w:szCs w:val="2"/>
        </w:rPr>
        <w:t>18F</w:t>
      </w:r>
      <w:r>
        <w:rPr>
          <w:rStyle w:val="EndnoteReference"/>
        </w:rPr>
        <w:endnoteReference w:id="30"/>
      </w:r>
      <w:r>
        <w:t xml:space="preserve"> Preoperative anemia, even mild anemia (Hb 11.0g/dL – 12.9g/dL), is an independent risk factor for </w:t>
      </w:r>
      <w:r w:rsidR="00851F52">
        <w:t xml:space="preserve"> </w:t>
      </w:r>
      <w:r>
        <w:t>postoperative morbidity and mortality, as well as increased length of stay, and is a predictor of allogenic blood transfusion. Surgical specialties have various prevalence of anemia</w:t>
      </w:r>
      <w:r w:rsidR="003663AA">
        <w:rPr>
          <w:rFonts w:ascii="ZWAdobeF" w:hAnsi="ZWAdobeF" w:cs="ZWAdobeF"/>
          <w:sz w:val="2"/>
          <w:szCs w:val="2"/>
        </w:rPr>
        <w:t>19F</w:t>
      </w:r>
      <w:r>
        <w:rPr>
          <w:rStyle w:val="EndnoteReference"/>
        </w:rPr>
        <w:endnoteReference w:id="31"/>
      </w:r>
      <w:r>
        <w:t>, but some studies have shown a higher prevalence in vascular, gynecologic</w:t>
      </w:r>
      <w:r w:rsidR="003663AA">
        <w:rPr>
          <w:rFonts w:ascii="ZWAdobeF" w:hAnsi="ZWAdobeF" w:cs="ZWAdobeF"/>
          <w:sz w:val="2"/>
          <w:szCs w:val="2"/>
        </w:rPr>
        <w:t>20F</w:t>
      </w:r>
      <w:r>
        <w:rPr>
          <w:rStyle w:val="EndnoteReference"/>
        </w:rPr>
        <w:endnoteReference w:id="32"/>
      </w:r>
      <w:r>
        <w:t>, urologic, and colon</w:t>
      </w:r>
      <w:r w:rsidR="00734484">
        <w:t xml:space="preserve"> surgeries. </w:t>
      </w:r>
    </w:p>
    <w:p w14:paraId="6C81D3A4" w14:textId="1EA5F91E" w:rsidR="009C1DFE" w:rsidRDefault="009C1DFE" w:rsidP="009C1DFE">
      <w:r w:rsidRPr="005021B2">
        <w:rPr>
          <w:b/>
          <w:bCs/>
        </w:rPr>
        <w:t>The underlying cause of preoperative anemia should be evaluated early in the course of preoperative planning</w:t>
      </w:r>
      <w:r>
        <w:t xml:space="preserve">. National guidelines recommend screening for anemia at a </w:t>
      </w:r>
      <w:proofErr w:type="gramStart"/>
      <w:r>
        <w:t>minimum</w:t>
      </w:r>
      <w:proofErr w:type="gramEnd"/>
      <w:r>
        <w:t xml:space="preserve"> 4-6 weeks before the procedure.</w:t>
      </w:r>
      <w:r w:rsidR="003663AA">
        <w:rPr>
          <w:rFonts w:ascii="ZWAdobeF" w:hAnsi="ZWAdobeF" w:cs="ZWAdobeF"/>
          <w:sz w:val="2"/>
          <w:szCs w:val="2"/>
        </w:rPr>
        <w:t>21F</w:t>
      </w:r>
      <w:r w:rsidR="009854DE">
        <w:rPr>
          <w:rStyle w:val="EndnoteReference"/>
        </w:rPr>
        <w:endnoteReference w:id="33"/>
      </w:r>
      <w:r>
        <w:t xml:space="preserve"> Screening for anemia is simple </w:t>
      </w:r>
      <w:r w:rsidR="009854DE">
        <w:t>(</w:t>
      </w:r>
      <w:r w:rsidR="00FB5F4F">
        <w:t>i.e.,</w:t>
      </w:r>
      <w:r w:rsidR="009854DE">
        <w:t xml:space="preserve">, complete blood count) </w:t>
      </w:r>
      <w:r>
        <w:t xml:space="preserve">and is usually already combined with other preoperative testing. Iron deficiency anemia is one the most common causes of </w:t>
      </w:r>
      <w:r w:rsidR="009854DE">
        <w:t>anemia and</w:t>
      </w:r>
      <w:r>
        <w:t xml:space="preserve"> is usually treatable with iron supplementation. Preoperative guidelines recommend intravenous administration </w:t>
      </w:r>
      <w:r w:rsidR="009854DE">
        <w:t>of iron for iron deficiency anemia t</w:t>
      </w:r>
      <w:r>
        <w:t>o raise hemoglobin levels effectively on a preoperative timeline.</w:t>
      </w:r>
      <w:r w:rsidR="003663AA">
        <w:rPr>
          <w:rFonts w:ascii="ZWAdobeF" w:hAnsi="ZWAdobeF" w:cs="ZWAdobeF"/>
          <w:sz w:val="2"/>
          <w:szCs w:val="2"/>
        </w:rPr>
        <w:t>22F</w:t>
      </w:r>
      <w:r>
        <w:rPr>
          <w:rStyle w:val="EndnoteReference"/>
        </w:rPr>
        <w:endnoteReference w:id="34"/>
      </w:r>
      <w:r>
        <w:t xml:space="preserve"> Compared to blood transfusions, </w:t>
      </w:r>
      <w:commentRangeStart w:id="47"/>
      <w:r w:rsidR="2ADBB860">
        <w:t xml:space="preserve">intravenous </w:t>
      </w:r>
      <w:commentRangeEnd w:id="47"/>
      <w:r w:rsidR="00D11590">
        <w:rPr>
          <w:rStyle w:val="CommentReference"/>
          <w:rFonts w:eastAsiaTheme="minorHAnsi"/>
          <w:kern w:val="2"/>
          <w:lang w:eastAsia="en-US"/>
          <w14:ligatures w14:val="standardContextual"/>
        </w:rPr>
        <w:commentReference w:id="47"/>
      </w:r>
      <w:r>
        <w:t xml:space="preserve">iron infusions are cost-saving, especially considering the avoidance of increased length of stay and medical complications. </w:t>
      </w:r>
    </w:p>
    <w:p w14:paraId="58D9D234" w14:textId="2612DF27" w:rsidR="00446974" w:rsidRPr="0049148F" w:rsidRDefault="009C1DFE" w:rsidP="009C1DFE">
      <w:pPr>
        <w:rPr>
          <w:sz w:val="32"/>
          <w:szCs w:val="32"/>
        </w:rPr>
      </w:pPr>
      <w:r w:rsidRPr="005021B2">
        <w:rPr>
          <w:b/>
          <w:bCs/>
        </w:rPr>
        <w:t xml:space="preserve">Screening and treatment should be done in the context of a coordinated healthcare team </w:t>
      </w:r>
      <w:r w:rsidR="00C3016D" w:rsidRPr="005021B2">
        <w:rPr>
          <w:b/>
          <w:bCs/>
        </w:rPr>
        <w:t>that</w:t>
      </w:r>
      <w:r w:rsidRPr="005021B2">
        <w:rPr>
          <w:b/>
          <w:bCs/>
        </w:rPr>
        <w:t xml:space="preserve"> prioritizes optimization</w:t>
      </w:r>
      <w:r>
        <w:t>. Preoperative care settings can support providers and patients by developing clinical infrastructure</w:t>
      </w:r>
      <w:r w:rsidR="00F41CCB">
        <w:t xml:space="preserve"> such as</w:t>
      </w:r>
      <w:r>
        <w:t xml:space="preserve"> workflows that reflexively order iron studies for those </w:t>
      </w:r>
      <w:r w:rsidR="003805F5">
        <w:t>who it is appropriate</w:t>
      </w:r>
      <w:r w:rsidR="00F41CCB">
        <w:t xml:space="preserve"> and </w:t>
      </w:r>
      <w:r>
        <w:t>referral pathways for further evaluation for underlying causes</w:t>
      </w:r>
      <w:r w:rsidR="00F41CCB">
        <w:t>.</w:t>
      </w:r>
      <w:r w:rsidR="003805F5">
        <w:t xml:space="preserve"> </w:t>
      </w:r>
      <w:r>
        <w:t xml:space="preserve">Clinical teams should help patients make comprehensive plans for </w:t>
      </w:r>
      <w:r>
        <w:lastRenderedPageBreak/>
        <w:t xml:space="preserve">preop anemia optimization that includes clearly defined hemoglobin goals, parameters for when </w:t>
      </w:r>
      <w:r w:rsidR="00882028">
        <w:t xml:space="preserve">procedure delay </w:t>
      </w:r>
      <w:r w:rsidR="00F41CCB">
        <w:t xml:space="preserve"> might be </w:t>
      </w:r>
      <w:r>
        <w:t xml:space="preserve">recommended, and referral for continued management of anemia postoperatively. </w:t>
      </w:r>
      <w:r w:rsidR="009854DE">
        <w:t xml:space="preserve">Payors and purchasers can support optimization by providing separate reimbursement specifically for preoperative identification management, such as preoperative testing of hemoglobin and HbA1c and administration of insulin and/or intravenous iron. </w:t>
      </w:r>
    </w:p>
    <w:p w14:paraId="17E92AD9" w14:textId="0164FF2D" w:rsidR="009854DE" w:rsidRPr="0049148F" w:rsidRDefault="009854DE" w:rsidP="009854DE">
      <w:pPr>
        <w:pStyle w:val="Heading2"/>
        <w:rPr>
          <w:sz w:val="32"/>
          <w:szCs w:val="32"/>
        </w:rPr>
      </w:pPr>
      <w:bookmarkStart w:id="48" w:name="_Toc212542288"/>
      <w:r w:rsidRPr="0049148F">
        <w:rPr>
          <w:sz w:val="32"/>
          <w:szCs w:val="32"/>
        </w:rPr>
        <w:t>Prioritizing Optimization</w:t>
      </w:r>
      <w:bookmarkEnd w:id="48"/>
    </w:p>
    <w:p w14:paraId="5B6500D3" w14:textId="55ED7033" w:rsidR="00EF41EE" w:rsidRDefault="003F0CC7" w:rsidP="003F0CC7">
      <w:r w:rsidRPr="003F0CC7">
        <w:t>Decisions to delay a procedure should be guided by clearly defined thresholds and patient-centered goals. For glycemic control, surgery may be postponed if blood glucose levels are persistently above guideline-recommended targets—typically above 180 mg/dL—or if hyperglycemia cannot be stabilized with available interventions, thus raising the risk for postoperative infection and delayed healing. Similarly, when patients present with moderate to severe anemia (for example, hemoglobin below 11.0 g/dL), and especially when the underlying cause is not yet identified or treatable, it is often safer to defer surgery. This allows time for interventions such as iron supplementation or other therapies to achieve safer hemoglobin levels and reduce transfusion risk. By proactively applying protocols that define these safety parameters, multidisciplinary teams can work with patients to weigh the benefits and risks, ensuring that procedures occur only when patients are optimally prepared for recovery and long-term health.</w:t>
      </w:r>
    </w:p>
    <w:p w14:paraId="23410C16" w14:textId="5C45A820" w:rsidR="00762832" w:rsidRPr="0049148F" w:rsidRDefault="00762832" w:rsidP="002C32DC">
      <w:pPr>
        <w:pStyle w:val="Heading2"/>
        <w:rPr>
          <w:sz w:val="32"/>
          <w:szCs w:val="32"/>
        </w:rPr>
      </w:pPr>
      <w:bookmarkStart w:id="49" w:name="_Toc212542289"/>
      <w:r w:rsidRPr="0049148F">
        <w:rPr>
          <w:sz w:val="32"/>
          <w:szCs w:val="32"/>
        </w:rPr>
        <w:t>Measure</w:t>
      </w:r>
      <w:r w:rsidR="002C32DC" w:rsidRPr="0049148F">
        <w:rPr>
          <w:sz w:val="32"/>
          <w:szCs w:val="32"/>
        </w:rPr>
        <w:t>ment</w:t>
      </w:r>
      <w:bookmarkEnd w:id="49"/>
    </w:p>
    <w:p w14:paraId="2F5906C1" w14:textId="4E2E0F18" w:rsidR="00BA6B1C" w:rsidRDefault="008B1681" w:rsidP="002C32DC">
      <w:r>
        <w:t>T</w:t>
      </w:r>
      <w:r w:rsidR="004E43EB">
        <w:t>o monitor progress toward improvement in surgical optimization for glycemic control and anemi</w:t>
      </w:r>
      <w:r w:rsidR="009A00E7">
        <w:t xml:space="preserve">a, the workgroup recommends several process and outcome measures to monitor at the system level </w:t>
      </w:r>
      <w:r w:rsidR="00BA6B1C">
        <w:t xml:space="preserve">to design quality improvement around and monitor progress towards goals. The following are </w:t>
      </w:r>
      <w:r w:rsidR="00784582">
        <w:t>measurement concepts</w:t>
      </w:r>
      <w:r w:rsidR="00BA6B1C">
        <w:t xml:space="preserve"> that the workgroup endorses: </w:t>
      </w:r>
    </w:p>
    <w:p w14:paraId="00463656" w14:textId="43F0B90E" w:rsidR="00BA6B1C" w:rsidRDefault="5C0C04E1" w:rsidP="00C931BF">
      <w:pPr>
        <w:pStyle w:val="ListParagraph"/>
        <w:numPr>
          <w:ilvl w:val="0"/>
          <w:numId w:val="36"/>
        </w:numPr>
      </w:pPr>
      <w:r>
        <w:t>Percent of patients with good glycemic control</w:t>
      </w:r>
      <w:r w:rsidR="005021B2">
        <w:t xml:space="preserve"> </w:t>
      </w:r>
      <w:commentRangeStart w:id="50"/>
      <w:r w:rsidR="005021B2" w:rsidRPr="005021B2">
        <w:rPr>
          <w:strike/>
          <w:color w:val="EE0000"/>
        </w:rPr>
        <w:t>on admission for surgery</w:t>
      </w:r>
      <w:r w:rsidR="005021B2" w:rsidRPr="005021B2">
        <w:rPr>
          <w:color w:val="EE0000"/>
        </w:rPr>
        <w:t xml:space="preserve"> in immediate preoperative </w:t>
      </w:r>
      <w:proofErr w:type="gramStart"/>
      <w:r w:rsidR="005021B2" w:rsidRPr="005021B2">
        <w:rPr>
          <w:color w:val="EE0000"/>
        </w:rPr>
        <w:t>period</w:t>
      </w:r>
      <w:proofErr w:type="gramEnd"/>
      <w:r w:rsidR="005021B2" w:rsidRPr="005021B2">
        <w:rPr>
          <w:color w:val="EE0000"/>
        </w:rPr>
        <w:t xml:space="preserve"> and during and after surgical procedure</w:t>
      </w:r>
      <w:commentRangeEnd w:id="50"/>
      <w:r w:rsidR="005021B2">
        <w:rPr>
          <w:rStyle w:val="CommentReference"/>
          <w:rFonts w:eastAsiaTheme="minorHAnsi"/>
          <w:kern w:val="2"/>
          <w:lang w:eastAsia="en-US"/>
          <w14:ligatures w14:val="standardContextual"/>
        </w:rPr>
        <w:commentReference w:id="50"/>
      </w:r>
      <w:r w:rsidR="005021B2" w:rsidRPr="005021B2">
        <w:rPr>
          <w:color w:val="EE0000"/>
        </w:rPr>
        <w:t>.</w:t>
      </w:r>
      <w:r w:rsidR="005021B2">
        <w:t xml:space="preserve"> </w:t>
      </w:r>
      <w:r>
        <w:t xml:space="preserve"> </w:t>
      </w:r>
    </w:p>
    <w:p w14:paraId="417AAE58" w14:textId="2C6DAF61" w:rsidR="001A2381" w:rsidRDefault="001A2381" w:rsidP="00C931BF">
      <w:pPr>
        <w:pStyle w:val="ListParagraph"/>
        <w:numPr>
          <w:ilvl w:val="0"/>
          <w:numId w:val="36"/>
        </w:numPr>
      </w:pPr>
      <w:r>
        <w:t>Percent of patients without anemia on admission</w:t>
      </w:r>
      <w:r w:rsidR="00577FFD">
        <w:t xml:space="preserve"> </w:t>
      </w:r>
    </w:p>
    <w:p w14:paraId="4D2647E5" w14:textId="29F0E952" w:rsidR="00BD48C8" w:rsidRDefault="00E4434E" w:rsidP="00C931BF">
      <w:pPr>
        <w:pStyle w:val="ListParagraph"/>
        <w:numPr>
          <w:ilvl w:val="0"/>
          <w:numId w:val="36"/>
        </w:numPr>
      </w:pPr>
      <w:r>
        <w:t>Fewer post-operative days where blood glucose level is elevated</w:t>
      </w:r>
    </w:p>
    <w:p w14:paraId="61BEFEA2" w14:textId="22D6FB53" w:rsidR="008E197D" w:rsidRDefault="0078174C" w:rsidP="00C931BF">
      <w:pPr>
        <w:pStyle w:val="ListParagraph"/>
        <w:numPr>
          <w:ilvl w:val="0"/>
          <w:numId w:val="36"/>
        </w:numPr>
      </w:pPr>
      <w:r>
        <w:t>Percent of patients undergoing major elective surgery receiving blood transfusions</w:t>
      </w:r>
    </w:p>
    <w:p w14:paraId="208647EE" w14:textId="43283417" w:rsidR="00B251B2" w:rsidRDefault="00577FFD" w:rsidP="00577FFD">
      <w:r>
        <w:t>Process</w:t>
      </w:r>
      <w:r w:rsidR="00E36825">
        <w:t xml:space="preserve"> and outcome</w:t>
      </w:r>
      <w:r w:rsidR="00164FFE">
        <w:t xml:space="preserve"> evaluations</w:t>
      </w:r>
      <w:r>
        <w:t xml:space="preserve"> should include </w:t>
      </w:r>
      <w:r w:rsidR="00164FFE">
        <w:t>measurement concepts such as</w:t>
      </w:r>
    </w:p>
    <w:p w14:paraId="53659770" w14:textId="4FE4630D" w:rsidR="00B251B2" w:rsidRDefault="00B251B2" w:rsidP="00B251B2">
      <w:pPr>
        <w:pStyle w:val="ListParagraph"/>
        <w:numPr>
          <w:ilvl w:val="0"/>
          <w:numId w:val="20"/>
        </w:numPr>
      </w:pPr>
      <w:r>
        <w:t xml:space="preserve">Preoperative screening </w:t>
      </w:r>
      <w:r w:rsidR="00C931BF">
        <w:t>(e.g., HbA1c, Hb/Hct)</w:t>
      </w:r>
    </w:p>
    <w:p w14:paraId="42365A64" w14:textId="0FA8A402" w:rsidR="00B251B2" w:rsidRDefault="00B251B2" w:rsidP="00B251B2">
      <w:pPr>
        <w:pStyle w:val="ListParagraph"/>
        <w:numPr>
          <w:ilvl w:val="0"/>
          <w:numId w:val="20"/>
        </w:numPr>
      </w:pPr>
      <w:r>
        <w:t>Optimization activities (e.g., intravenous iron for iron deficiency anemia)</w:t>
      </w:r>
    </w:p>
    <w:p w14:paraId="0444CC56" w14:textId="1B343D6C" w:rsidR="00B251B2" w:rsidRDefault="00B251B2" w:rsidP="00B251B2">
      <w:pPr>
        <w:pStyle w:val="ListParagraph"/>
        <w:numPr>
          <w:ilvl w:val="0"/>
          <w:numId w:val="20"/>
        </w:numPr>
      </w:pPr>
      <w:r>
        <w:t>Clinical care processes (</w:t>
      </w:r>
      <w:r w:rsidR="00B16EC9">
        <w:t>intraoperative hyperglycemia treated with insulin)</w:t>
      </w:r>
    </w:p>
    <w:p w14:paraId="11B54EE6" w14:textId="3267E991" w:rsidR="00E36825" w:rsidRDefault="00E36825" w:rsidP="00B251B2">
      <w:pPr>
        <w:pStyle w:val="ListParagraph"/>
        <w:numPr>
          <w:ilvl w:val="0"/>
          <w:numId w:val="20"/>
        </w:numPr>
      </w:pPr>
      <w:r>
        <w:t>Postoperative complications (e.g., surgical site infection)</w:t>
      </w:r>
      <w:r w:rsidR="00646646">
        <w:t xml:space="preserve"> and adverse events</w:t>
      </w:r>
    </w:p>
    <w:p w14:paraId="7C017BE9" w14:textId="7A29C39A" w:rsidR="00C931BF" w:rsidRDefault="00C931BF" w:rsidP="00C931BF">
      <w:r>
        <w:lastRenderedPageBreak/>
        <w:t xml:space="preserve">Review the </w:t>
      </w:r>
      <w:r w:rsidRPr="00C931BF">
        <w:rPr>
          <w:b/>
          <w:bCs/>
        </w:rPr>
        <w:t>Process and Outcome Measures</w:t>
      </w:r>
      <w:r>
        <w:t xml:space="preserve"> in our </w:t>
      </w:r>
      <w:r w:rsidRPr="00C931BF">
        <w:rPr>
          <w:b/>
          <w:bCs/>
        </w:rPr>
        <w:t xml:space="preserve">Evaluation Framework </w:t>
      </w:r>
      <w:r>
        <w:t>for detailed parameters.</w:t>
      </w:r>
    </w:p>
    <w:p w14:paraId="1D38349B" w14:textId="187E312E" w:rsidR="0078577D" w:rsidRDefault="0078577D" w:rsidP="00577FFD">
      <w:r>
        <w:rPr>
          <w:noProof/>
        </w:rPr>
        <mc:AlternateContent>
          <mc:Choice Requires="wps">
            <w:drawing>
              <wp:anchor distT="45720" distB="45720" distL="114300" distR="114300" simplePos="0" relativeHeight="251658242" behindDoc="0" locked="0" layoutInCell="1" allowOverlap="1" wp14:anchorId="7AE38DED" wp14:editId="4E1811E8">
                <wp:simplePos x="0" y="0"/>
                <wp:positionH relativeFrom="column">
                  <wp:posOffset>753110</wp:posOffset>
                </wp:positionH>
                <wp:positionV relativeFrom="paragraph">
                  <wp:posOffset>6350</wp:posOffset>
                </wp:positionV>
                <wp:extent cx="4512945" cy="526415"/>
                <wp:effectExtent l="19050" t="19050" r="2095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2945" cy="526415"/>
                        </a:xfrm>
                        <a:prstGeom prst="rect">
                          <a:avLst/>
                        </a:prstGeom>
                        <a:solidFill>
                          <a:schemeClr val="accent4">
                            <a:lumMod val="40000"/>
                            <a:lumOff val="60000"/>
                          </a:schemeClr>
                        </a:solidFill>
                        <a:ln w="38100">
                          <a:solidFill>
                            <a:schemeClr val="tx1"/>
                          </a:solidFill>
                          <a:miter lim="800000"/>
                          <a:headEnd/>
                          <a:tailEnd/>
                        </a:ln>
                      </wps:spPr>
                      <wps:txbx>
                        <w:txbxContent>
                          <w:p w14:paraId="2DDAC4FE" w14:textId="55181301" w:rsidR="0078577D" w:rsidRDefault="0078577D" w:rsidP="005B7B59">
                            <w:pPr>
                              <w:jc w:val="center"/>
                            </w:pPr>
                            <w:r>
                              <w:t xml:space="preserve">Review the </w:t>
                            </w:r>
                            <w:r w:rsidRPr="005B7B59">
                              <w:rPr>
                                <w:b/>
                                <w:bCs/>
                              </w:rPr>
                              <w:t>Bree Collaborative Surgical Optimization Evaluation Framework</w:t>
                            </w:r>
                            <w:r>
                              <w:t xml:space="preserve"> for further detailed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E38DED" id="_x0000_t202" coordsize="21600,21600" o:spt="202" path="m,l,21600r21600,l21600,xe">
                <v:stroke joinstyle="miter"/>
                <v:path gradientshapeok="t" o:connecttype="rect"/>
              </v:shapetype>
              <v:shape id="Text Box 2" o:spid="_x0000_s1027" type="#_x0000_t202" style="position:absolute;margin-left:59.3pt;margin-top:.5pt;width:355.35pt;height:41.4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" fillcolor="#95dcf7 [1303]" strokecolor="black [3213]" strokeweight="3pt">
                <v:textbox>
                  <w:txbxContent>
                    <w:p w14:paraId="2DDAC4FE" w14:textId="55181301" w:rsidR="0078577D" w:rsidRDefault="0078577D" w:rsidP="005B7B59">
                      <w:pPr>
                        <w:jc w:val="center"/>
                      </w:pPr>
                      <w:r>
                        <w:t xml:space="preserve">Review the </w:t>
                      </w:r>
                      <w:r w:rsidRPr="005B7B59">
                        <w:rPr>
                          <w:b/>
                          <w:bCs/>
                        </w:rPr>
                        <w:t>Bree Collaborative Surgical Optimization Evaluation Framework</w:t>
                      </w:r>
                      <w:r>
                        <w:t xml:space="preserve"> for further detailed information</w:t>
                      </w:r>
                    </w:p>
                  </w:txbxContent>
                </v:textbox>
                <w10:wrap type="square"/>
              </v:shape>
            </w:pict>
          </mc:Fallback>
        </mc:AlternateContent>
      </w:r>
    </w:p>
    <w:p w14:paraId="25DD0159" w14:textId="4ED44C1C" w:rsidR="00577FFD" w:rsidRDefault="00577FFD" w:rsidP="00577FFD"/>
    <w:p w14:paraId="40A91974" w14:textId="77777777" w:rsidR="0049148F" w:rsidRDefault="0049148F" w:rsidP="00BF275C">
      <w:pPr>
        <w:pStyle w:val="Heading2"/>
      </w:pPr>
      <w:bookmarkStart w:id="51" w:name="_Procedures"/>
      <w:bookmarkEnd w:id="51"/>
    </w:p>
    <w:p w14:paraId="4D3DFAB0" w14:textId="5CD3B3E4" w:rsidR="00F41CCB" w:rsidRPr="0049148F" w:rsidRDefault="00BF275C" w:rsidP="00BF275C">
      <w:pPr>
        <w:pStyle w:val="Heading2"/>
        <w:rPr>
          <w:sz w:val="32"/>
          <w:szCs w:val="32"/>
        </w:rPr>
      </w:pPr>
      <w:bookmarkStart w:id="52" w:name="_Toc212542290"/>
      <w:r w:rsidRPr="0049148F">
        <w:rPr>
          <w:sz w:val="32"/>
          <w:szCs w:val="32"/>
        </w:rPr>
        <w:t>Paying for Value</w:t>
      </w:r>
      <w:bookmarkEnd w:id="52"/>
    </w:p>
    <w:p w14:paraId="0A9594CD" w14:textId="019A99CC" w:rsidR="00A85345" w:rsidRPr="00A85345" w:rsidRDefault="00A85345" w:rsidP="00A85345">
      <w:pPr>
        <w:rPr>
          <w:color w:val="000000" w:themeColor="text1"/>
          <w:sz w:val="22"/>
          <w:szCs w:val="22"/>
        </w:rPr>
      </w:pPr>
      <w:r w:rsidRPr="00A85345">
        <w:rPr>
          <w:color w:val="000000" w:themeColor="text1"/>
          <w:sz w:val="22"/>
          <w:szCs w:val="22"/>
        </w:rPr>
        <w:t>Bundled payment programs and shared savings initiatives have emerged as influential strategies in reshaping the economic and clinical landscape of major elective surgical procedures. These payment models shift the focus from volume-based care to value-based care, aligning financial incentives with the quality and efficiency of surgical outcomes. In a bundled payment model, a single payment is made to cover all services associated with a surgical episode, including preoperative optimization, the procedure itself, postoperative care, and any related complications or readmissions. Shared savings programs, by contrast, reward providers for reducing costs below a benchmark while maintaining or improving quality. Together, these approaches encourage care coordination, risk reduction, and evidence-based practice, producing benefits that extend to patients, providers, and pay</w:t>
      </w:r>
      <w:r w:rsidR="0017434E">
        <w:rPr>
          <w:color w:val="000000" w:themeColor="text1"/>
          <w:sz w:val="22"/>
          <w:szCs w:val="22"/>
        </w:rPr>
        <w:t>o</w:t>
      </w:r>
      <w:r w:rsidRPr="00A85345">
        <w:rPr>
          <w:color w:val="000000" w:themeColor="text1"/>
          <w:sz w:val="22"/>
          <w:szCs w:val="22"/>
        </w:rPr>
        <w:t>rs</w:t>
      </w:r>
      <w:r w:rsidR="0017434E">
        <w:rPr>
          <w:color w:val="000000" w:themeColor="text1"/>
          <w:sz w:val="22"/>
          <w:szCs w:val="22"/>
        </w:rPr>
        <w:t>.</w:t>
      </w:r>
      <w:r w:rsidR="003663AA">
        <w:rPr>
          <w:rFonts w:ascii="ZWAdobeF" w:hAnsi="ZWAdobeF" w:cs="ZWAdobeF"/>
          <w:sz w:val="2"/>
          <w:szCs w:val="2"/>
        </w:rPr>
        <w:t>29F</w:t>
      </w:r>
      <w:r w:rsidR="0017434E">
        <w:rPr>
          <w:rStyle w:val="EndnoteReference"/>
          <w:color w:val="000000" w:themeColor="text1"/>
          <w:sz w:val="22"/>
          <w:szCs w:val="22"/>
        </w:rPr>
        <w:endnoteReference w:id="35"/>
      </w:r>
      <w:r w:rsidR="003663AA">
        <w:rPr>
          <w:rFonts w:ascii="ZWAdobeF" w:hAnsi="ZWAdobeF" w:cs="ZWAdobeF"/>
          <w:sz w:val="2"/>
          <w:szCs w:val="2"/>
        </w:rPr>
        <w:t>30F</w:t>
      </w:r>
      <w:r w:rsidR="00AB5E58">
        <w:rPr>
          <w:rStyle w:val="EndnoteReference"/>
          <w:color w:val="000000" w:themeColor="text1"/>
          <w:sz w:val="22"/>
          <w:szCs w:val="22"/>
        </w:rPr>
        <w:endnoteReference w:id="36"/>
      </w:r>
      <w:r w:rsidRPr="00A85345">
        <w:rPr>
          <w:color w:val="000000" w:themeColor="text1"/>
          <w:sz w:val="22"/>
          <w:szCs w:val="22"/>
        </w:rPr>
        <w:t xml:space="preserve"> </w:t>
      </w:r>
    </w:p>
    <w:p w14:paraId="277A28E8" w14:textId="74DD623A" w:rsidR="00A85345" w:rsidRPr="00A85345" w:rsidRDefault="00A85345" w:rsidP="00A85345">
      <w:pPr>
        <w:rPr>
          <w:color w:val="000000" w:themeColor="text1"/>
          <w:sz w:val="22"/>
          <w:szCs w:val="22"/>
        </w:rPr>
      </w:pPr>
      <w:r w:rsidRPr="00A85345">
        <w:rPr>
          <w:color w:val="000000" w:themeColor="text1"/>
          <w:sz w:val="22"/>
          <w:szCs w:val="22"/>
        </w:rPr>
        <w:t xml:space="preserve">One of the primary advantages of bundled payments in elective surgery is the incentivization of preoperative optimization. For procedures such as total hip and knee arthroplasty, spine surgery, and </w:t>
      </w:r>
      <w:r w:rsidR="00267577">
        <w:rPr>
          <w:color w:val="000000" w:themeColor="text1"/>
          <w:sz w:val="22"/>
          <w:szCs w:val="22"/>
        </w:rPr>
        <w:t xml:space="preserve">other </w:t>
      </w:r>
      <w:r w:rsidR="009E2706">
        <w:rPr>
          <w:color w:val="000000" w:themeColor="text1"/>
          <w:sz w:val="22"/>
          <w:szCs w:val="22"/>
        </w:rPr>
        <w:t>major elective</w:t>
      </w:r>
      <w:r w:rsidR="00267577">
        <w:rPr>
          <w:color w:val="000000" w:themeColor="text1"/>
          <w:sz w:val="22"/>
          <w:szCs w:val="22"/>
        </w:rPr>
        <w:t xml:space="preserve"> procedures</w:t>
      </w:r>
      <w:r w:rsidRPr="00A85345">
        <w:rPr>
          <w:color w:val="000000" w:themeColor="text1"/>
          <w:sz w:val="22"/>
          <w:szCs w:val="22"/>
        </w:rPr>
        <w:t xml:space="preserve">, controlling modifiable risk factors like hyperglycemia, anemia, and nutritional deficiencies reduces surgical site infections, postoperative complications, and hospital length of stay. Under bundled payment models, </w:t>
      </w:r>
      <w:r w:rsidR="003A0A8E">
        <w:rPr>
          <w:color w:val="000000" w:themeColor="text1"/>
          <w:sz w:val="22"/>
          <w:szCs w:val="22"/>
        </w:rPr>
        <w:t xml:space="preserve">financial incentives align to </w:t>
      </w:r>
      <w:r w:rsidR="00A82A13">
        <w:rPr>
          <w:color w:val="000000" w:themeColor="text1"/>
          <w:sz w:val="22"/>
          <w:szCs w:val="22"/>
        </w:rPr>
        <w:t xml:space="preserve">motivate optimization prior to surgery, as complications or readmissions may not be covered. </w:t>
      </w:r>
      <w:r w:rsidRPr="00A85345">
        <w:rPr>
          <w:color w:val="000000" w:themeColor="text1"/>
          <w:sz w:val="22"/>
          <w:szCs w:val="22"/>
        </w:rPr>
        <w:t>Medicare’s Comprehensive Care for Joint Replacement (CJR) program demonstrated reductions in average episode spending and postoperative complications, without negatively impacting patient-reported outcomes</w:t>
      </w:r>
      <w:r w:rsidR="00CF0B79">
        <w:rPr>
          <w:color w:val="000000" w:themeColor="text1"/>
          <w:sz w:val="22"/>
          <w:szCs w:val="22"/>
        </w:rPr>
        <w:t>.</w:t>
      </w:r>
      <w:r w:rsidR="003663AA">
        <w:rPr>
          <w:rFonts w:ascii="ZWAdobeF" w:hAnsi="ZWAdobeF" w:cs="ZWAdobeF"/>
          <w:sz w:val="2"/>
          <w:szCs w:val="2"/>
        </w:rPr>
        <w:t>31F</w:t>
      </w:r>
      <w:r w:rsidR="00602698">
        <w:rPr>
          <w:rStyle w:val="EndnoteReference"/>
          <w:color w:val="000000" w:themeColor="text1"/>
          <w:sz w:val="22"/>
          <w:szCs w:val="22"/>
        </w:rPr>
        <w:endnoteReference w:id="37"/>
      </w:r>
      <w:r w:rsidRPr="00A85345">
        <w:rPr>
          <w:color w:val="000000" w:themeColor="text1"/>
          <w:sz w:val="22"/>
          <w:szCs w:val="22"/>
        </w:rPr>
        <w:t xml:space="preserve"> </w:t>
      </w:r>
      <w:r w:rsidR="006B352B">
        <w:rPr>
          <w:color w:val="000000" w:themeColor="text1"/>
          <w:sz w:val="22"/>
          <w:szCs w:val="22"/>
        </w:rPr>
        <w:t xml:space="preserve">Bundled payments for spine surgeries also indicated </w:t>
      </w:r>
      <w:r w:rsidR="00752F91">
        <w:rPr>
          <w:color w:val="000000" w:themeColor="text1"/>
          <w:sz w:val="22"/>
          <w:szCs w:val="22"/>
        </w:rPr>
        <w:t xml:space="preserve">have shown </w:t>
      </w:r>
      <w:r w:rsidR="003A0A8E">
        <w:rPr>
          <w:color w:val="000000" w:themeColor="text1"/>
          <w:sz w:val="22"/>
          <w:szCs w:val="22"/>
        </w:rPr>
        <w:t>reduced episode spending and a reduction in readmission inpatient admissions.</w:t>
      </w:r>
      <w:r w:rsidR="003663AA">
        <w:rPr>
          <w:rFonts w:ascii="ZWAdobeF" w:hAnsi="ZWAdobeF" w:cs="ZWAdobeF"/>
          <w:sz w:val="2"/>
          <w:szCs w:val="2"/>
        </w:rPr>
        <w:t>32F</w:t>
      </w:r>
      <w:r w:rsidR="003A0A8E">
        <w:rPr>
          <w:rStyle w:val="EndnoteReference"/>
          <w:color w:val="000000" w:themeColor="text1"/>
          <w:sz w:val="22"/>
          <w:szCs w:val="22"/>
        </w:rPr>
        <w:endnoteReference w:id="38"/>
      </w:r>
      <w:r w:rsidR="00A82A13">
        <w:rPr>
          <w:color w:val="000000" w:themeColor="text1"/>
          <w:sz w:val="22"/>
          <w:szCs w:val="22"/>
        </w:rPr>
        <w:t xml:space="preserve"> </w:t>
      </w:r>
    </w:p>
    <w:p w14:paraId="14801B1C" w14:textId="7DB09B96" w:rsidR="00A85345" w:rsidRPr="00A85345" w:rsidRDefault="00A85345">
      <w:pPr>
        <w:rPr>
          <w:color w:val="000000" w:themeColor="text1"/>
          <w:sz w:val="22"/>
          <w:szCs w:val="22"/>
        </w:rPr>
      </w:pPr>
      <w:r w:rsidRPr="00A85345">
        <w:rPr>
          <w:color w:val="000000" w:themeColor="text1"/>
          <w:sz w:val="22"/>
          <w:szCs w:val="22"/>
        </w:rPr>
        <w:t xml:space="preserve">Shared savings programs </w:t>
      </w:r>
      <w:r w:rsidR="00CF120E">
        <w:rPr>
          <w:color w:val="000000" w:themeColor="text1"/>
          <w:sz w:val="22"/>
          <w:szCs w:val="22"/>
        </w:rPr>
        <w:t>foster</w:t>
      </w:r>
      <w:r w:rsidRPr="00A85345">
        <w:rPr>
          <w:color w:val="000000" w:themeColor="text1"/>
          <w:sz w:val="22"/>
          <w:szCs w:val="22"/>
        </w:rPr>
        <w:t xml:space="preserve"> continuous improvement and multidisciplinary care delivery. Health systems participating in these programs often establish preoperative clinics, implement enhanced recovery after surgery (ERAS) pathways, and expand patient engagement and education efforts. These </w:t>
      </w:r>
      <w:r w:rsidR="00963C58">
        <w:rPr>
          <w:color w:val="000000" w:themeColor="text1"/>
          <w:sz w:val="22"/>
          <w:szCs w:val="22"/>
        </w:rPr>
        <w:t>strategies</w:t>
      </w:r>
      <w:r w:rsidRPr="00A85345">
        <w:rPr>
          <w:color w:val="000000" w:themeColor="text1"/>
          <w:sz w:val="22"/>
          <w:szCs w:val="22"/>
        </w:rPr>
        <w:t xml:space="preserve"> have been shown to decrease </w:t>
      </w:r>
      <w:r w:rsidR="7B8EAC11">
        <w:rPr>
          <w:color w:val="000000" w:themeColor="text1"/>
          <w:sz w:val="22"/>
          <w:szCs w:val="22"/>
        </w:rPr>
        <w:t>intensive care unit (ICU</w:t>
      </w:r>
      <w:r w:rsidR="7B8EAC11" w:rsidRPr="7F394DB4">
        <w:rPr>
          <w:color w:val="000000" w:themeColor="text1"/>
          <w:sz w:val="22"/>
          <w:szCs w:val="22"/>
        </w:rPr>
        <w:t xml:space="preserve">) </w:t>
      </w:r>
      <w:r w:rsidRPr="7F394DB4">
        <w:rPr>
          <w:color w:val="000000" w:themeColor="text1"/>
          <w:sz w:val="22"/>
          <w:szCs w:val="22"/>
        </w:rPr>
        <w:t>stays, transfusion requirements, and surgical site infections</w:t>
      </w:r>
      <w:r w:rsidR="00F93F48">
        <w:rPr>
          <w:rStyle w:val="EndnoteReference"/>
          <w:color w:val="000000" w:themeColor="text1"/>
          <w:sz w:val="22"/>
          <w:szCs w:val="22"/>
        </w:rPr>
        <w:endnoteReference w:id="39"/>
      </w:r>
      <w:r w:rsidR="003663AA">
        <w:rPr>
          <w:rFonts w:ascii="ZWAdobeF" w:hAnsi="ZWAdobeF" w:cs="ZWAdobeF"/>
          <w:sz w:val="2"/>
          <w:szCs w:val="2"/>
        </w:rPr>
        <w:t>33F</w:t>
      </w:r>
      <w:r w:rsidR="0063781A">
        <w:rPr>
          <w:rStyle w:val="EndnoteReference"/>
          <w:color w:val="000000" w:themeColor="text1"/>
          <w:sz w:val="22"/>
          <w:szCs w:val="22"/>
        </w:rPr>
        <w:endnoteReference w:id="40"/>
      </w:r>
      <w:r w:rsidR="003663AA" w:rsidRPr="7F394DB4">
        <w:rPr>
          <w:rFonts w:ascii="ZWAdobeF" w:hAnsi="ZWAdobeF" w:cs="ZWAdobeF"/>
          <w:sz w:val="2"/>
          <w:szCs w:val="2"/>
        </w:rPr>
        <w:t>34F</w:t>
      </w:r>
      <w:r w:rsidRPr="00A85345">
        <w:rPr>
          <w:color w:val="000000" w:themeColor="text1"/>
          <w:sz w:val="22"/>
          <w:szCs w:val="22"/>
        </w:rPr>
        <w:t xml:space="preserve"> By linking financial rewards to both cost containment and quality metrics, shared savings models support reinvestment into patient-centered initiatives such as prehabilitation programs, targeted risk reduction strategies for </w:t>
      </w:r>
      <w:r w:rsidR="00F93F48" w:rsidRPr="7F394DB4">
        <w:rPr>
          <w:color w:val="000000" w:themeColor="text1"/>
          <w:sz w:val="22"/>
          <w:szCs w:val="22"/>
        </w:rPr>
        <w:t>at higher risk for surgical complications</w:t>
      </w:r>
      <w:r w:rsidRPr="7F394DB4">
        <w:rPr>
          <w:color w:val="000000" w:themeColor="text1"/>
          <w:sz w:val="22"/>
          <w:szCs w:val="22"/>
        </w:rPr>
        <w:t>, and advanced monitoring protocols.</w:t>
      </w:r>
    </w:p>
    <w:p w14:paraId="119CB7F3" w14:textId="7ED5A2F5" w:rsidR="00A85345" w:rsidRDefault="00A85345" w:rsidP="00A85345">
      <w:pPr>
        <w:rPr>
          <w:color w:val="000000" w:themeColor="text1"/>
          <w:sz w:val="22"/>
          <w:szCs w:val="22"/>
        </w:rPr>
      </w:pPr>
      <w:r w:rsidRPr="00A85345">
        <w:rPr>
          <w:color w:val="000000" w:themeColor="text1"/>
          <w:sz w:val="22"/>
          <w:szCs w:val="22"/>
        </w:rPr>
        <w:t>Elective surgeries, with predictable care trajectories, are particularly well suited for these models. Standardized pathways decrease variation, promote adherence to best practices, and reduce wasteful utilization of resources</w:t>
      </w:r>
      <w:r w:rsidR="00F93F48">
        <w:rPr>
          <w:color w:val="000000" w:themeColor="text1"/>
          <w:sz w:val="22"/>
          <w:szCs w:val="22"/>
        </w:rPr>
        <w:t xml:space="preserve">. </w:t>
      </w:r>
      <w:r w:rsidRPr="00A85345">
        <w:rPr>
          <w:color w:val="000000" w:themeColor="text1"/>
          <w:sz w:val="22"/>
          <w:szCs w:val="22"/>
        </w:rPr>
        <w:t xml:space="preserve">Importantly, large-scale evaluations suggest that these payment </w:t>
      </w:r>
      <w:r w:rsidRPr="00A85345">
        <w:rPr>
          <w:color w:val="000000" w:themeColor="text1"/>
          <w:sz w:val="22"/>
          <w:szCs w:val="22"/>
        </w:rPr>
        <w:lastRenderedPageBreak/>
        <w:t>reforms achieve cost reductions without compromising equity or quality, with potential to improve access and outcomes across diverse patient populations</w:t>
      </w:r>
      <w:r w:rsidR="00BF209A">
        <w:rPr>
          <w:color w:val="000000" w:themeColor="text1"/>
          <w:sz w:val="22"/>
          <w:szCs w:val="22"/>
        </w:rPr>
        <w:t>.</w:t>
      </w:r>
      <w:r w:rsidR="003663AA">
        <w:rPr>
          <w:rFonts w:ascii="ZWAdobeF" w:hAnsi="ZWAdobeF" w:cs="ZWAdobeF"/>
          <w:sz w:val="2"/>
          <w:szCs w:val="2"/>
        </w:rPr>
        <w:t>35F</w:t>
      </w:r>
      <w:r w:rsidR="00BF209A">
        <w:rPr>
          <w:rStyle w:val="EndnoteReference"/>
          <w:color w:val="000000" w:themeColor="text1"/>
          <w:sz w:val="22"/>
          <w:szCs w:val="22"/>
        </w:rPr>
        <w:endnoteReference w:id="41"/>
      </w:r>
      <w:r w:rsidRPr="00A85345">
        <w:rPr>
          <w:color w:val="000000" w:themeColor="text1"/>
          <w:sz w:val="22"/>
          <w:szCs w:val="22"/>
        </w:rPr>
        <w:t xml:space="preserve"> </w:t>
      </w:r>
      <w:r w:rsidR="00BF209A">
        <w:rPr>
          <w:color w:val="000000" w:themeColor="text1"/>
          <w:sz w:val="22"/>
          <w:szCs w:val="22"/>
        </w:rPr>
        <w:t>Bundled</w:t>
      </w:r>
      <w:r w:rsidRPr="00A85345">
        <w:rPr>
          <w:color w:val="000000" w:themeColor="text1"/>
          <w:sz w:val="22"/>
          <w:szCs w:val="22"/>
        </w:rPr>
        <w:t xml:space="preserve"> payment and shared savings initiatives represent a proven approach to aligning incentives around quality, efficiency, and patient-centered surgical care.</w:t>
      </w:r>
    </w:p>
    <w:p w14:paraId="0A183FEB" w14:textId="77777777" w:rsidR="009C1DFE" w:rsidRDefault="009C1DFE" w:rsidP="002A2FFD">
      <w:pPr>
        <w:rPr>
          <w:color w:val="000000" w:themeColor="text1"/>
          <w:sz w:val="22"/>
          <w:szCs w:val="22"/>
        </w:rPr>
      </w:pPr>
    </w:p>
    <w:p w14:paraId="0088EE97" w14:textId="77777777" w:rsidR="00650C74" w:rsidRDefault="00650C74">
      <w:pPr>
        <w:rPr>
          <w:rFonts w:asciiTheme="majorHAnsi" w:eastAsiaTheme="majorEastAsia" w:hAnsiTheme="majorHAnsi" w:cstheme="majorBidi"/>
          <w:color w:val="0F4761" w:themeColor="accent1" w:themeShade="BF"/>
          <w:sz w:val="32"/>
          <w:szCs w:val="32"/>
        </w:rPr>
      </w:pPr>
      <w:bookmarkStart w:id="53" w:name="_Toc206580470"/>
      <w:r>
        <w:br w:type="page"/>
      </w:r>
    </w:p>
    <w:p w14:paraId="5E18E87F" w14:textId="3F4CCE08" w:rsidR="00966EBD" w:rsidRDefault="00966EBD" w:rsidP="00966EBD">
      <w:pPr>
        <w:pStyle w:val="Heading1"/>
      </w:pPr>
      <w:bookmarkStart w:id="54" w:name="_Toc212542291"/>
      <w:r>
        <w:lastRenderedPageBreak/>
        <w:t>Appendices</w:t>
      </w:r>
      <w:bookmarkEnd w:id="53"/>
      <w:bookmarkEnd w:id="54"/>
    </w:p>
    <w:p w14:paraId="652B2E39" w14:textId="77777777" w:rsidR="00966EBD" w:rsidRDefault="00966EBD" w:rsidP="00966EBD">
      <w:pPr>
        <w:pStyle w:val="Heading2"/>
      </w:pPr>
      <w:bookmarkStart w:id="55" w:name="_Toc206580471"/>
      <w:bookmarkStart w:id="56" w:name="_Toc212542292"/>
      <w:r>
        <w:t>Appendix A. Bree Collaborative Members</w:t>
      </w:r>
      <w:bookmarkEnd w:id="55"/>
      <w:bookmarkEnd w:id="56"/>
    </w:p>
    <w:tbl>
      <w:tblPr>
        <w:tblStyle w:val="ListTable4-Accent4"/>
        <w:tblW w:w="0" w:type="auto"/>
        <w:tblLook w:val="04A0" w:firstRow="1" w:lastRow="0" w:firstColumn="1" w:lastColumn="0" w:noHBand="0" w:noVBand="1"/>
      </w:tblPr>
      <w:tblGrid>
        <w:gridCol w:w="2433"/>
        <w:gridCol w:w="3395"/>
        <w:gridCol w:w="3522"/>
      </w:tblGrid>
      <w:tr w:rsidR="00AD0BF8" w14:paraId="620C74DA" w14:textId="77777777" w:rsidTr="00C460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tcPr>
          <w:p w14:paraId="5CD2FC6B" w14:textId="50EE08A7" w:rsidR="00AD0BF8" w:rsidRDefault="00AD0BF8">
            <w:bookmarkStart w:id="57" w:name="_Hlk207969229"/>
            <w:bookmarkStart w:id="58" w:name="_Toc206580472"/>
            <w:r>
              <w:t>Name</w:t>
            </w:r>
          </w:p>
        </w:tc>
        <w:tc>
          <w:tcPr>
            <w:tcW w:w="3395" w:type="dxa"/>
          </w:tcPr>
          <w:p w14:paraId="252A7215" w14:textId="06D61291" w:rsidR="00AD0BF8" w:rsidRDefault="00AD0BF8">
            <w:pPr>
              <w:cnfStyle w:val="100000000000" w:firstRow="1" w:lastRow="0" w:firstColumn="0" w:lastColumn="0" w:oddVBand="0" w:evenVBand="0" w:oddHBand="0" w:evenHBand="0" w:firstRowFirstColumn="0" w:firstRowLastColumn="0" w:lastRowFirstColumn="0" w:lastRowLastColumn="0"/>
            </w:pPr>
            <w:r>
              <w:t>Title</w:t>
            </w:r>
          </w:p>
        </w:tc>
        <w:tc>
          <w:tcPr>
            <w:tcW w:w="3522" w:type="dxa"/>
          </w:tcPr>
          <w:p w14:paraId="686767F8" w14:textId="4719DABC" w:rsidR="00AD0BF8" w:rsidRDefault="00AD0BF8">
            <w:pPr>
              <w:cnfStyle w:val="100000000000" w:firstRow="1" w:lastRow="0" w:firstColumn="0" w:lastColumn="0" w:oddVBand="0" w:evenVBand="0" w:oddHBand="0" w:evenHBand="0" w:firstRowFirstColumn="0" w:firstRowLastColumn="0" w:lastRowFirstColumn="0" w:lastRowLastColumn="0"/>
            </w:pPr>
            <w:r>
              <w:t>Organization</w:t>
            </w:r>
          </w:p>
        </w:tc>
      </w:tr>
      <w:tr w:rsidR="000D1BBA" w:rsidRPr="000D1BBA" w14:paraId="5930AEB7" w14:textId="77777777" w:rsidTr="00C46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E1E3EBE" w14:textId="77777777" w:rsidR="000D1BBA" w:rsidRPr="000D1BBA" w:rsidRDefault="000D1BBA" w:rsidP="000D1BBA">
            <w:pPr>
              <w:rPr>
                <w:rFonts w:ascii="Arial" w:eastAsia="Times New Roman" w:hAnsi="Arial" w:cs="Arial"/>
                <w:b w:val="0"/>
                <w:bCs w:val="0"/>
                <w:color w:val="333333"/>
                <w:spacing w:val="3"/>
                <w:lang w:eastAsia="en-US"/>
              </w:rPr>
            </w:pPr>
            <w:r w:rsidRPr="000D1BBA">
              <w:rPr>
                <w:rFonts w:ascii="Arial" w:eastAsia="Times New Roman" w:hAnsi="Arial" w:cs="Arial"/>
                <w:b w:val="0"/>
                <w:bCs w:val="0"/>
                <w:color w:val="333333"/>
                <w:spacing w:val="3"/>
                <w:lang w:eastAsia="en-US"/>
              </w:rPr>
              <w:t>June Altaras, MN, NEA-BC, RN</w:t>
            </w:r>
          </w:p>
        </w:tc>
        <w:tc>
          <w:tcPr>
            <w:tcW w:w="0" w:type="auto"/>
            <w:hideMark/>
          </w:tcPr>
          <w:p w14:paraId="3959B2F3" w14:textId="77777777" w:rsidR="000D1BBA" w:rsidRPr="000D1BBA" w:rsidRDefault="000D1BBA" w:rsidP="000D1BB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pacing w:val="3"/>
                <w:lang w:eastAsia="en-US"/>
              </w:rPr>
            </w:pPr>
            <w:r w:rsidRPr="000D1BBA">
              <w:rPr>
                <w:rFonts w:ascii="Arial" w:eastAsia="Times New Roman" w:hAnsi="Arial" w:cs="Arial"/>
                <w:color w:val="333333"/>
                <w:spacing w:val="3"/>
                <w:lang w:eastAsia="en-US"/>
              </w:rPr>
              <w:t>Executive Vice President, Chief Quality, Safety and Nursing Officer</w:t>
            </w:r>
          </w:p>
        </w:tc>
        <w:tc>
          <w:tcPr>
            <w:tcW w:w="0" w:type="auto"/>
            <w:hideMark/>
          </w:tcPr>
          <w:p w14:paraId="4132E965" w14:textId="77777777" w:rsidR="000D1BBA" w:rsidRPr="000D1BBA" w:rsidRDefault="000D1BBA" w:rsidP="000D1BB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pacing w:val="3"/>
                <w:lang w:eastAsia="en-US"/>
              </w:rPr>
            </w:pPr>
            <w:r w:rsidRPr="000D1BBA">
              <w:rPr>
                <w:rFonts w:ascii="Arial" w:eastAsia="Times New Roman" w:hAnsi="Arial" w:cs="Arial"/>
                <w:color w:val="333333"/>
                <w:spacing w:val="3"/>
                <w:lang w:eastAsia="en-US"/>
              </w:rPr>
              <w:t>MultiCare Health System</w:t>
            </w:r>
          </w:p>
        </w:tc>
      </w:tr>
      <w:tr w:rsidR="000D1BBA" w:rsidRPr="000D1BBA" w14:paraId="4599F7AC" w14:textId="77777777" w:rsidTr="00C460C1">
        <w:tc>
          <w:tcPr>
            <w:cnfStyle w:val="001000000000" w:firstRow="0" w:lastRow="0" w:firstColumn="1" w:lastColumn="0" w:oddVBand="0" w:evenVBand="0" w:oddHBand="0" w:evenHBand="0" w:firstRowFirstColumn="0" w:firstRowLastColumn="0" w:lastRowFirstColumn="0" w:lastRowLastColumn="0"/>
            <w:tcW w:w="0" w:type="auto"/>
            <w:hideMark/>
          </w:tcPr>
          <w:p w14:paraId="3BAB9951" w14:textId="77777777" w:rsidR="000D1BBA" w:rsidRPr="000D1BBA" w:rsidRDefault="000D1BBA" w:rsidP="000D1BBA">
            <w:pPr>
              <w:rPr>
                <w:rFonts w:ascii="Arial" w:eastAsia="Times New Roman" w:hAnsi="Arial" w:cs="Arial"/>
                <w:b w:val="0"/>
                <w:bCs w:val="0"/>
                <w:color w:val="333333"/>
                <w:spacing w:val="3"/>
                <w:lang w:eastAsia="en-US"/>
              </w:rPr>
            </w:pPr>
            <w:r w:rsidRPr="000D1BBA">
              <w:rPr>
                <w:rFonts w:ascii="Arial" w:eastAsia="Times New Roman" w:hAnsi="Arial" w:cs="Arial"/>
                <w:b w:val="0"/>
                <w:bCs w:val="0"/>
                <w:color w:val="333333"/>
                <w:spacing w:val="3"/>
                <w:lang w:eastAsia="en-US"/>
              </w:rPr>
              <w:t>Colleen Daly, PhD</w:t>
            </w:r>
          </w:p>
        </w:tc>
        <w:tc>
          <w:tcPr>
            <w:tcW w:w="0" w:type="auto"/>
            <w:hideMark/>
          </w:tcPr>
          <w:p w14:paraId="41259569" w14:textId="77777777" w:rsidR="000D1BBA" w:rsidRPr="000D1BBA" w:rsidRDefault="000D1BBA" w:rsidP="000D1B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pacing w:val="3"/>
                <w:lang w:eastAsia="en-US"/>
              </w:rPr>
            </w:pPr>
            <w:r w:rsidRPr="000D1BBA">
              <w:rPr>
                <w:rFonts w:ascii="Arial" w:eastAsia="Times New Roman" w:hAnsi="Arial" w:cs="Arial"/>
                <w:color w:val="333333"/>
                <w:spacing w:val="3"/>
                <w:lang w:eastAsia="en-US"/>
              </w:rPr>
              <w:t>Director, Global Occupational Health, Safety and Research</w:t>
            </w:r>
          </w:p>
        </w:tc>
        <w:tc>
          <w:tcPr>
            <w:tcW w:w="0" w:type="auto"/>
            <w:hideMark/>
          </w:tcPr>
          <w:p w14:paraId="59E1C6F1" w14:textId="77777777" w:rsidR="000D1BBA" w:rsidRPr="000D1BBA" w:rsidRDefault="000D1BBA" w:rsidP="000D1B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pacing w:val="3"/>
                <w:lang w:eastAsia="en-US"/>
              </w:rPr>
            </w:pPr>
            <w:r w:rsidRPr="000D1BBA">
              <w:rPr>
                <w:rFonts w:ascii="Arial" w:eastAsia="Times New Roman" w:hAnsi="Arial" w:cs="Arial"/>
                <w:color w:val="333333"/>
                <w:spacing w:val="3"/>
                <w:lang w:eastAsia="en-US"/>
              </w:rPr>
              <w:t>Microsoft</w:t>
            </w:r>
          </w:p>
        </w:tc>
      </w:tr>
      <w:tr w:rsidR="000D1BBA" w:rsidRPr="000D1BBA" w14:paraId="6E11175F" w14:textId="77777777" w:rsidTr="00C46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BF5F72" w14:textId="77777777" w:rsidR="000D1BBA" w:rsidRPr="000D1BBA" w:rsidRDefault="000D1BBA" w:rsidP="000D1BBA">
            <w:pPr>
              <w:rPr>
                <w:rFonts w:ascii="Arial" w:eastAsia="Times New Roman" w:hAnsi="Arial" w:cs="Arial"/>
                <w:b w:val="0"/>
                <w:bCs w:val="0"/>
                <w:color w:val="333333"/>
                <w:spacing w:val="3"/>
                <w:lang w:eastAsia="en-US"/>
              </w:rPr>
            </w:pPr>
            <w:r w:rsidRPr="000D1BBA">
              <w:rPr>
                <w:rFonts w:ascii="Arial" w:eastAsia="Times New Roman" w:hAnsi="Arial" w:cs="Arial"/>
                <w:b w:val="0"/>
                <w:bCs w:val="0"/>
                <w:color w:val="333333"/>
                <w:spacing w:val="3"/>
                <w:lang w:eastAsia="en-US"/>
              </w:rPr>
              <w:t>Jake Berman, MD MPH</w:t>
            </w:r>
          </w:p>
        </w:tc>
        <w:tc>
          <w:tcPr>
            <w:tcW w:w="0" w:type="auto"/>
            <w:hideMark/>
          </w:tcPr>
          <w:p w14:paraId="4EBD69B6" w14:textId="77777777" w:rsidR="000D1BBA" w:rsidRPr="000D1BBA" w:rsidRDefault="000D1BBA" w:rsidP="000D1BB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pacing w:val="3"/>
                <w:lang w:eastAsia="en-US"/>
              </w:rPr>
            </w:pPr>
            <w:r w:rsidRPr="000D1BBA">
              <w:rPr>
                <w:rFonts w:ascii="Arial" w:eastAsia="Times New Roman" w:hAnsi="Arial" w:cs="Arial"/>
                <w:color w:val="333333"/>
                <w:spacing w:val="3"/>
                <w:lang w:eastAsia="en-US"/>
              </w:rPr>
              <w:t>Medical Director for Population Health Integration</w:t>
            </w:r>
          </w:p>
        </w:tc>
        <w:tc>
          <w:tcPr>
            <w:tcW w:w="0" w:type="auto"/>
            <w:hideMark/>
          </w:tcPr>
          <w:p w14:paraId="538D4807" w14:textId="77777777" w:rsidR="000D1BBA" w:rsidRPr="000D1BBA" w:rsidRDefault="000D1BBA" w:rsidP="000D1BB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pacing w:val="3"/>
                <w:lang w:eastAsia="en-US"/>
              </w:rPr>
            </w:pPr>
            <w:r w:rsidRPr="000D1BBA">
              <w:rPr>
                <w:rFonts w:ascii="Arial" w:eastAsia="Times New Roman" w:hAnsi="Arial" w:cs="Arial"/>
                <w:color w:val="333333"/>
                <w:spacing w:val="3"/>
                <w:lang w:eastAsia="en-US"/>
              </w:rPr>
              <w:t>UW Medicine and UWM Primary Care and Population Health</w:t>
            </w:r>
          </w:p>
        </w:tc>
      </w:tr>
      <w:tr w:rsidR="000D1BBA" w:rsidRPr="000D1BBA" w14:paraId="7E3C42C3" w14:textId="77777777" w:rsidTr="00C460C1">
        <w:tc>
          <w:tcPr>
            <w:cnfStyle w:val="001000000000" w:firstRow="0" w:lastRow="0" w:firstColumn="1" w:lastColumn="0" w:oddVBand="0" w:evenVBand="0" w:oddHBand="0" w:evenHBand="0" w:firstRowFirstColumn="0" w:firstRowLastColumn="0" w:lastRowFirstColumn="0" w:lastRowLastColumn="0"/>
            <w:tcW w:w="0" w:type="auto"/>
            <w:hideMark/>
          </w:tcPr>
          <w:p w14:paraId="20BA87C2" w14:textId="77777777" w:rsidR="000D1BBA" w:rsidRPr="000D1BBA" w:rsidRDefault="000D1BBA" w:rsidP="000D1BBA">
            <w:pPr>
              <w:rPr>
                <w:rFonts w:ascii="Arial" w:eastAsia="Times New Roman" w:hAnsi="Arial" w:cs="Arial"/>
                <w:b w:val="0"/>
                <w:bCs w:val="0"/>
                <w:color w:val="333333"/>
                <w:spacing w:val="3"/>
                <w:lang w:eastAsia="en-US"/>
              </w:rPr>
            </w:pPr>
            <w:r w:rsidRPr="000D1BBA">
              <w:rPr>
                <w:rFonts w:ascii="Arial" w:eastAsia="Times New Roman" w:hAnsi="Arial" w:cs="Arial"/>
                <w:b w:val="0"/>
                <w:bCs w:val="0"/>
                <w:color w:val="333333"/>
                <w:spacing w:val="3"/>
                <w:lang w:eastAsia="en-US"/>
              </w:rPr>
              <w:t>Gary Franklin, MD, MPH</w:t>
            </w:r>
          </w:p>
        </w:tc>
        <w:tc>
          <w:tcPr>
            <w:tcW w:w="0" w:type="auto"/>
            <w:hideMark/>
          </w:tcPr>
          <w:p w14:paraId="2EF6D4DA" w14:textId="77777777" w:rsidR="000D1BBA" w:rsidRPr="000D1BBA" w:rsidRDefault="000D1BBA" w:rsidP="000D1B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pacing w:val="3"/>
                <w:lang w:eastAsia="en-US"/>
              </w:rPr>
            </w:pPr>
            <w:r w:rsidRPr="000D1BBA">
              <w:rPr>
                <w:rFonts w:ascii="Arial" w:eastAsia="Times New Roman" w:hAnsi="Arial" w:cs="Arial"/>
                <w:color w:val="333333"/>
                <w:spacing w:val="3"/>
                <w:lang w:eastAsia="en-US"/>
              </w:rPr>
              <w:t>Medical Director</w:t>
            </w:r>
          </w:p>
        </w:tc>
        <w:tc>
          <w:tcPr>
            <w:tcW w:w="0" w:type="auto"/>
            <w:hideMark/>
          </w:tcPr>
          <w:p w14:paraId="4E506B96" w14:textId="77777777" w:rsidR="000D1BBA" w:rsidRPr="000D1BBA" w:rsidRDefault="000D1BBA" w:rsidP="000D1B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pacing w:val="3"/>
                <w:lang w:eastAsia="en-US"/>
              </w:rPr>
            </w:pPr>
            <w:r w:rsidRPr="000D1BBA">
              <w:rPr>
                <w:rFonts w:ascii="Arial" w:eastAsia="Times New Roman" w:hAnsi="Arial" w:cs="Arial"/>
                <w:color w:val="333333"/>
                <w:spacing w:val="3"/>
                <w:lang w:eastAsia="en-US"/>
              </w:rPr>
              <w:t>Washington State Department of Labor and Industries</w:t>
            </w:r>
          </w:p>
        </w:tc>
      </w:tr>
      <w:tr w:rsidR="000D1BBA" w:rsidRPr="000D1BBA" w14:paraId="4AAEB81B" w14:textId="77777777" w:rsidTr="00C46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DA3AE8" w14:textId="77777777" w:rsidR="000D1BBA" w:rsidRPr="000D1BBA" w:rsidRDefault="000D1BBA" w:rsidP="000D1BBA">
            <w:pPr>
              <w:rPr>
                <w:rFonts w:ascii="Arial" w:eastAsia="Times New Roman" w:hAnsi="Arial" w:cs="Arial"/>
                <w:b w:val="0"/>
                <w:bCs w:val="0"/>
                <w:color w:val="333333"/>
                <w:spacing w:val="3"/>
                <w:lang w:eastAsia="en-US"/>
              </w:rPr>
            </w:pPr>
            <w:r w:rsidRPr="000D1BBA">
              <w:rPr>
                <w:rFonts w:ascii="Arial" w:eastAsia="Times New Roman" w:hAnsi="Arial" w:cs="Arial"/>
                <w:b w:val="0"/>
                <w:bCs w:val="0"/>
                <w:color w:val="333333"/>
                <w:spacing w:val="3"/>
                <w:lang w:eastAsia="en-US"/>
              </w:rPr>
              <w:t>Colin Fields, MD, AAHIVS</w:t>
            </w:r>
          </w:p>
        </w:tc>
        <w:tc>
          <w:tcPr>
            <w:tcW w:w="0" w:type="auto"/>
            <w:hideMark/>
          </w:tcPr>
          <w:p w14:paraId="1712D117" w14:textId="77777777" w:rsidR="000D1BBA" w:rsidRPr="000D1BBA" w:rsidRDefault="000D1BBA" w:rsidP="000D1BB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pacing w:val="3"/>
                <w:lang w:eastAsia="en-US"/>
              </w:rPr>
            </w:pPr>
            <w:r w:rsidRPr="000D1BBA">
              <w:rPr>
                <w:rFonts w:ascii="Arial" w:eastAsia="Times New Roman" w:hAnsi="Arial" w:cs="Arial"/>
                <w:color w:val="333333"/>
                <w:spacing w:val="3"/>
                <w:lang w:eastAsia="en-US"/>
              </w:rPr>
              <w:t>Medical Director, Government Relations &amp; Public Policy</w:t>
            </w:r>
          </w:p>
        </w:tc>
        <w:tc>
          <w:tcPr>
            <w:tcW w:w="0" w:type="auto"/>
            <w:hideMark/>
          </w:tcPr>
          <w:p w14:paraId="47EC2E08" w14:textId="77777777" w:rsidR="000D1BBA" w:rsidRPr="000D1BBA" w:rsidRDefault="000D1BBA" w:rsidP="000D1BB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pacing w:val="3"/>
                <w:lang w:eastAsia="en-US"/>
              </w:rPr>
            </w:pPr>
            <w:r w:rsidRPr="000D1BBA">
              <w:rPr>
                <w:rFonts w:ascii="Arial" w:eastAsia="Times New Roman" w:hAnsi="Arial" w:cs="Arial"/>
                <w:color w:val="333333"/>
                <w:spacing w:val="3"/>
                <w:lang w:eastAsia="en-US"/>
              </w:rPr>
              <w:t>Kaiser Permanente</w:t>
            </w:r>
          </w:p>
        </w:tc>
      </w:tr>
      <w:tr w:rsidR="000D1BBA" w:rsidRPr="000D1BBA" w14:paraId="5B84AF3C" w14:textId="77777777" w:rsidTr="00C460C1">
        <w:tc>
          <w:tcPr>
            <w:cnfStyle w:val="001000000000" w:firstRow="0" w:lastRow="0" w:firstColumn="1" w:lastColumn="0" w:oddVBand="0" w:evenVBand="0" w:oddHBand="0" w:evenHBand="0" w:firstRowFirstColumn="0" w:firstRowLastColumn="0" w:lastRowFirstColumn="0" w:lastRowLastColumn="0"/>
            <w:tcW w:w="0" w:type="auto"/>
            <w:hideMark/>
          </w:tcPr>
          <w:p w14:paraId="2BD9BD6D" w14:textId="77777777" w:rsidR="000D1BBA" w:rsidRPr="000D1BBA" w:rsidRDefault="000D1BBA" w:rsidP="000D1BBA">
            <w:pPr>
              <w:rPr>
                <w:rFonts w:ascii="Arial" w:eastAsia="Times New Roman" w:hAnsi="Arial" w:cs="Arial"/>
                <w:b w:val="0"/>
                <w:bCs w:val="0"/>
                <w:color w:val="333333"/>
                <w:spacing w:val="3"/>
                <w:lang w:eastAsia="en-US"/>
              </w:rPr>
            </w:pPr>
            <w:r w:rsidRPr="000D1BBA">
              <w:rPr>
                <w:rFonts w:ascii="Arial" w:eastAsia="Times New Roman" w:hAnsi="Arial" w:cs="Arial"/>
                <w:b w:val="0"/>
                <w:bCs w:val="0"/>
                <w:color w:val="333333"/>
                <w:spacing w:val="3"/>
                <w:lang w:eastAsia="en-US"/>
              </w:rPr>
              <w:t>Darcy Jaffe, MN, ARNP, NE-BC, FACHE</w:t>
            </w:r>
          </w:p>
        </w:tc>
        <w:tc>
          <w:tcPr>
            <w:tcW w:w="0" w:type="auto"/>
            <w:hideMark/>
          </w:tcPr>
          <w:p w14:paraId="5B44BB5D" w14:textId="77777777" w:rsidR="000D1BBA" w:rsidRPr="000D1BBA" w:rsidRDefault="000D1BBA" w:rsidP="000D1B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pacing w:val="3"/>
                <w:lang w:eastAsia="en-US"/>
              </w:rPr>
            </w:pPr>
            <w:r w:rsidRPr="000D1BBA">
              <w:rPr>
                <w:rFonts w:ascii="Arial" w:eastAsia="Times New Roman" w:hAnsi="Arial" w:cs="Arial"/>
                <w:color w:val="333333"/>
                <w:spacing w:val="3"/>
                <w:lang w:eastAsia="en-US"/>
              </w:rPr>
              <w:t>Senior Vice President, Safety &amp; Quality</w:t>
            </w:r>
          </w:p>
        </w:tc>
        <w:tc>
          <w:tcPr>
            <w:tcW w:w="0" w:type="auto"/>
            <w:hideMark/>
          </w:tcPr>
          <w:p w14:paraId="76D4C489" w14:textId="77777777" w:rsidR="000D1BBA" w:rsidRPr="000D1BBA" w:rsidRDefault="000D1BBA" w:rsidP="000D1B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pacing w:val="3"/>
                <w:lang w:eastAsia="en-US"/>
              </w:rPr>
            </w:pPr>
            <w:r w:rsidRPr="000D1BBA">
              <w:rPr>
                <w:rFonts w:ascii="Arial" w:eastAsia="Times New Roman" w:hAnsi="Arial" w:cs="Arial"/>
                <w:color w:val="333333"/>
                <w:spacing w:val="3"/>
                <w:lang w:eastAsia="en-US"/>
              </w:rPr>
              <w:t>Washington State Hospital Association</w:t>
            </w:r>
          </w:p>
        </w:tc>
      </w:tr>
      <w:tr w:rsidR="000D1BBA" w:rsidRPr="000D1BBA" w14:paraId="2F703F75" w14:textId="77777777" w:rsidTr="00C46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436731" w14:textId="77777777" w:rsidR="000D1BBA" w:rsidRPr="000D1BBA" w:rsidRDefault="000D1BBA" w:rsidP="000D1BBA">
            <w:pPr>
              <w:rPr>
                <w:rFonts w:ascii="Arial" w:eastAsia="Times New Roman" w:hAnsi="Arial" w:cs="Arial"/>
                <w:b w:val="0"/>
                <w:bCs w:val="0"/>
                <w:color w:val="333333"/>
                <w:spacing w:val="3"/>
                <w:lang w:eastAsia="en-US"/>
              </w:rPr>
            </w:pPr>
            <w:proofErr w:type="spellStart"/>
            <w:r w:rsidRPr="000D1BBA">
              <w:rPr>
                <w:rFonts w:ascii="Arial" w:eastAsia="Times New Roman" w:hAnsi="Arial" w:cs="Arial"/>
                <w:b w:val="0"/>
                <w:bCs w:val="0"/>
                <w:color w:val="333333"/>
                <w:spacing w:val="3"/>
                <w:lang w:eastAsia="en-US"/>
              </w:rPr>
              <w:t>Norifumi</w:t>
            </w:r>
            <w:proofErr w:type="spellEnd"/>
            <w:r w:rsidRPr="000D1BBA">
              <w:rPr>
                <w:rFonts w:ascii="Arial" w:eastAsia="Times New Roman" w:hAnsi="Arial" w:cs="Arial"/>
                <w:b w:val="0"/>
                <w:bCs w:val="0"/>
                <w:color w:val="333333"/>
                <w:spacing w:val="3"/>
                <w:lang w:eastAsia="en-US"/>
              </w:rPr>
              <w:t xml:space="preserve"> Kamo, MD, MPP</w:t>
            </w:r>
          </w:p>
        </w:tc>
        <w:tc>
          <w:tcPr>
            <w:tcW w:w="0" w:type="auto"/>
            <w:hideMark/>
          </w:tcPr>
          <w:p w14:paraId="10DA86D7" w14:textId="77777777" w:rsidR="000D1BBA" w:rsidRPr="000D1BBA" w:rsidRDefault="000D1BBA" w:rsidP="000D1BB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pacing w:val="3"/>
                <w:lang w:eastAsia="en-US"/>
              </w:rPr>
            </w:pPr>
            <w:r w:rsidRPr="000D1BBA">
              <w:rPr>
                <w:rFonts w:ascii="Arial" w:eastAsia="Times New Roman" w:hAnsi="Arial" w:cs="Arial"/>
                <w:color w:val="333333"/>
                <w:spacing w:val="3"/>
                <w:lang w:eastAsia="en-US"/>
              </w:rPr>
              <w:t>Internal Medicine</w:t>
            </w:r>
          </w:p>
        </w:tc>
        <w:tc>
          <w:tcPr>
            <w:tcW w:w="0" w:type="auto"/>
            <w:hideMark/>
          </w:tcPr>
          <w:p w14:paraId="2A7396E3" w14:textId="77777777" w:rsidR="000D1BBA" w:rsidRPr="000D1BBA" w:rsidRDefault="000D1BBA" w:rsidP="000D1BB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pacing w:val="3"/>
                <w:lang w:eastAsia="en-US"/>
              </w:rPr>
            </w:pPr>
            <w:r w:rsidRPr="000D1BBA">
              <w:rPr>
                <w:rFonts w:ascii="Arial" w:eastAsia="Times New Roman" w:hAnsi="Arial" w:cs="Arial"/>
                <w:color w:val="333333"/>
                <w:spacing w:val="3"/>
                <w:lang w:eastAsia="en-US"/>
              </w:rPr>
              <w:t>Virginia Mason Franciscan Health</w:t>
            </w:r>
          </w:p>
        </w:tc>
      </w:tr>
      <w:tr w:rsidR="000D1BBA" w:rsidRPr="000D1BBA" w14:paraId="190F35AF" w14:textId="77777777" w:rsidTr="00C460C1">
        <w:tc>
          <w:tcPr>
            <w:cnfStyle w:val="001000000000" w:firstRow="0" w:lastRow="0" w:firstColumn="1" w:lastColumn="0" w:oddVBand="0" w:evenVBand="0" w:oddHBand="0" w:evenHBand="0" w:firstRowFirstColumn="0" w:firstRowLastColumn="0" w:lastRowFirstColumn="0" w:lastRowLastColumn="0"/>
            <w:tcW w:w="0" w:type="auto"/>
            <w:hideMark/>
          </w:tcPr>
          <w:p w14:paraId="003F3FCD" w14:textId="77777777" w:rsidR="000D1BBA" w:rsidRPr="000D1BBA" w:rsidRDefault="000D1BBA" w:rsidP="000D1BBA">
            <w:pPr>
              <w:rPr>
                <w:rFonts w:ascii="Arial" w:eastAsia="Times New Roman" w:hAnsi="Arial" w:cs="Arial"/>
                <w:b w:val="0"/>
                <w:bCs w:val="0"/>
                <w:color w:val="333333"/>
                <w:spacing w:val="3"/>
                <w:lang w:eastAsia="en-US"/>
              </w:rPr>
            </w:pPr>
            <w:r w:rsidRPr="000D1BBA">
              <w:rPr>
                <w:rFonts w:ascii="Arial" w:eastAsia="Times New Roman" w:hAnsi="Arial" w:cs="Arial"/>
                <w:b w:val="0"/>
                <w:bCs w:val="0"/>
                <w:color w:val="333333"/>
                <w:spacing w:val="3"/>
                <w:lang w:eastAsia="en-US"/>
              </w:rPr>
              <w:t>Kristina Petsas, MD MBA MLS</w:t>
            </w:r>
          </w:p>
        </w:tc>
        <w:tc>
          <w:tcPr>
            <w:tcW w:w="0" w:type="auto"/>
            <w:hideMark/>
          </w:tcPr>
          <w:p w14:paraId="157F5C37" w14:textId="77777777" w:rsidR="000D1BBA" w:rsidRPr="000D1BBA" w:rsidRDefault="000D1BBA" w:rsidP="000D1B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pacing w:val="3"/>
                <w:lang w:eastAsia="en-US"/>
              </w:rPr>
            </w:pPr>
            <w:r w:rsidRPr="000D1BBA">
              <w:rPr>
                <w:rFonts w:ascii="Arial" w:eastAsia="Times New Roman" w:hAnsi="Arial" w:cs="Arial"/>
                <w:color w:val="333333"/>
                <w:spacing w:val="3"/>
                <w:lang w:eastAsia="en-US"/>
              </w:rPr>
              <w:t>Market Chief Medical Officer, Employer &amp; Individual</w:t>
            </w:r>
          </w:p>
        </w:tc>
        <w:tc>
          <w:tcPr>
            <w:tcW w:w="0" w:type="auto"/>
            <w:hideMark/>
          </w:tcPr>
          <w:p w14:paraId="52015B0F" w14:textId="77777777" w:rsidR="000D1BBA" w:rsidRPr="000D1BBA" w:rsidRDefault="000D1BBA" w:rsidP="000D1B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pacing w:val="3"/>
                <w:lang w:eastAsia="en-US"/>
              </w:rPr>
            </w:pPr>
            <w:r w:rsidRPr="000D1BBA">
              <w:rPr>
                <w:rFonts w:ascii="Arial" w:eastAsia="Times New Roman" w:hAnsi="Arial" w:cs="Arial"/>
                <w:color w:val="333333"/>
                <w:spacing w:val="3"/>
                <w:lang w:eastAsia="en-US"/>
              </w:rPr>
              <w:t>UnitedHealthcare</w:t>
            </w:r>
          </w:p>
        </w:tc>
      </w:tr>
      <w:tr w:rsidR="000D1BBA" w:rsidRPr="000D1BBA" w14:paraId="4ECE4E3E" w14:textId="77777777" w:rsidTr="00C46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78B4174" w14:textId="77777777" w:rsidR="000D1BBA" w:rsidRPr="000D1BBA" w:rsidRDefault="000D1BBA" w:rsidP="000D1BBA">
            <w:pPr>
              <w:rPr>
                <w:rFonts w:ascii="Arial" w:eastAsia="Times New Roman" w:hAnsi="Arial" w:cs="Arial"/>
                <w:b w:val="0"/>
                <w:bCs w:val="0"/>
                <w:color w:val="333333"/>
                <w:spacing w:val="3"/>
                <w:lang w:eastAsia="en-US"/>
              </w:rPr>
            </w:pPr>
            <w:r w:rsidRPr="000D1BBA">
              <w:rPr>
                <w:rFonts w:ascii="Arial" w:eastAsia="Times New Roman" w:hAnsi="Arial" w:cs="Arial"/>
                <w:b w:val="0"/>
                <w:bCs w:val="0"/>
                <w:color w:val="333333"/>
                <w:spacing w:val="3"/>
                <w:lang w:eastAsia="en-US"/>
              </w:rPr>
              <w:t>Greg Marchand</w:t>
            </w:r>
          </w:p>
        </w:tc>
        <w:tc>
          <w:tcPr>
            <w:tcW w:w="0" w:type="auto"/>
            <w:hideMark/>
          </w:tcPr>
          <w:p w14:paraId="345AF8E6" w14:textId="77777777" w:rsidR="000D1BBA" w:rsidRPr="000D1BBA" w:rsidRDefault="000D1BBA" w:rsidP="000D1BB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pacing w:val="3"/>
                <w:lang w:eastAsia="en-US"/>
              </w:rPr>
            </w:pPr>
            <w:r w:rsidRPr="000D1BBA">
              <w:rPr>
                <w:rFonts w:ascii="Arial" w:eastAsia="Times New Roman" w:hAnsi="Arial" w:cs="Arial"/>
                <w:color w:val="333333"/>
                <w:spacing w:val="3"/>
                <w:lang w:eastAsia="en-US"/>
              </w:rPr>
              <w:t>Director, Benefits &amp; Policy and Strategy</w:t>
            </w:r>
          </w:p>
        </w:tc>
        <w:tc>
          <w:tcPr>
            <w:tcW w:w="0" w:type="auto"/>
            <w:hideMark/>
          </w:tcPr>
          <w:p w14:paraId="210B6FD7" w14:textId="77777777" w:rsidR="000D1BBA" w:rsidRPr="000D1BBA" w:rsidRDefault="000D1BBA" w:rsidP="000D1BB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pacing w:val="3"/>
                <w:lang w:eastAsia="en-US"/>
              </w:rPr>
            </w:pPr>
            <w:r w:rsidRPr="000D1BBA">
              <w:rPr>
                <w:rFonts w:ascii="Arial" w:eastAsia="Times New Roman" w:hAnsi="Arial" w:cs="Arial"/>
                <w:color w:val="333333"/>
                <w:spacing w:val="3"/>
                <w:lang w:eastAsia="en-US"/>
              </w:rPr>
              <w:t>The Boeing Company</w:t>
            </w:r>
          </w:p>
        </w:tc>
      </w:tr>
      <w:tr w:rsidR="000D1BBA" w:rsidRPr="000D1BBA" w14:paraId="70532D76" w14:textId="77777777" w:rsidTr="00C460C1">
        <w:tc>
          <w:tcPr>
            <w:cnfStyle w:val="001000000000" w:firstRow="0" w:lastRow="0" w:firstColumn="1" w:lastColumn="0" w:oddVBand="0" w:evenVBand="0" w:oddHBand="0" w:evenHBand="0" w:firstRowFirstColumn="0" w:firstRowLastColumn="0" w:lastRowFirstColumn="0" w:lastRowLastColumn="0"/>
            <w:tcW w:w="0" w:type="auto"/>
            <w:hideMark/>
          </w:tcPr>
          <w:p w14:paraId="5B9C70C5" w14:textId="77777777" w:rsidR="000D1BBA" w:rsidRPr="000D1BBA" w:rsidRDefault="000D1BBA" w:rsidP="000D1BBA">
            <w:pPr>
              <w:rPr>
                <w:rFonts w:ascii="Arial" w:eastAsia="Times New Roman" w:hAnsi="Arial" w:cs="Arial"/>
                <w:b w:val="0"/>
                <w:bCs w:val="0"/>
                <w:color w:val="333333"/>
                <w:spacing w:val="3"/>
                <w:lang w:eastAsia="en-US"/>
              </w:rPr>
            </w:pPr>
            <w:r w:rsidRPr="000D1BBA">
              <w:rPr>
                <w:rFonts w:ascii="Arial" w:eastAsia="Times New Roman" w:hAnsi="Arial" w:cs="Arial"/>
                <w:b w:val="0"/>
                <w:bCs w:val="0"/>
                <w:color w:val="333333"/>
                <w:spacing w:val="3"/>
                <w:lang w:eastAsia="en-US"/>
              </w:rPr>
              <w:t>Kimberly Moore, MD</w:t>
            </w:r>
          </w:p>
        </w:tc>
        <w:tc>
          <w:tcPr>
            <w:tcW w:w="0" w:type="auto"/>
            <w:hideMark/>
          </w:tcPr>
          <w:p w14:paraId="1B9F2403" w14:textId="77777777" w:rsidR="000D1BBA" w:rsidRPr="000D1BBA" w:rsidRDefault="000D1BBA" w:rsidP="000D1B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pacing w:val="3"/>
                <w:lang w:eastAsia="en-US"/>
              </w:rPr>
            </w:pPr>
            <w:r w:rsidRPr="000D1BBA">
              <w:rPr>
                <w:rFonts w:ascii="Arial" w:eastAsia="Times New Roman" w:hAnsi="Arial" w:cs="Arial"/>
                <w:color w:val="333333"/>
                <w:spacing w:val="3"/>
                <w:lang w:eastAsia="en-US"/>
              </w:rPr>
              <w:t>Associate Chief Medical Officer</w:t>
            </w:r>
          </w:p>
        </w:tc>
        <w:tc>
          <w:tcPr>
            <w:tcW w:w="0" w:type="auto"/>
            <w:hideMark/>
          </w:tcPr>
          <w:p w14:paraId="433556E3" w14:textId="77777777" w:rsidR="000D1BBA" w:rsidRPr="000D1BBA" w:rsidRDefault="000D1BBA" w:rsidP="000D1B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pacing w:val="3"/>
                <w:lang w:eastAsia="en-US"/>
              </w:rPr>
            </w:pPr>
            <w:r w:rsidRPr="000D1BBA">
              <w:rPr>
                <w:rFonts w:ascii="Arial" w:eastAsia="Times New Roman" w:hAnsi="Arial" w:cs="Arial"/>
                <w:color w:val="333333"/>
                <w:spacing w:val="3"/>
                <w:lang w:eastAsia="en-US"/>
              </w:rPr>
              <w:t>Franciscan Health System</w:t>
            </w:r>
          </w:p>
        </w:tc>
      </w:tr>
      <w:tr w:rsidR="000D1BBA" w:rsidRPr="000D1BBA" w14:paraId="2178DDC5" w14:textId="77777777" w:rsidTr="00C46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03F064" w14:textId="77777777" w:rsidR="000D1BBA" w:rsidRPr="000D1BBA" w:rsidRDefault="000D1BBA" w:rsidP="000D1BBA">
            <w:pPr>
              <w:rPr>
                <w:rFonts w:ascii="Arial" w:eastAsia="Times New Roman" w:hAnsi="Arial" w:cs="Arial"/>
                <w:b w:val="0"/>
                <w:bCs w:val="0"/>
                <w:color w:val="333333"/>
                <w:spacing w:val="3"/>
                <w:lang w:eastAsia="en-US"/>
              </w:rPr>
            </w:pPr>
            <w:r w:rsidRPr="000D1BBA">
              <w:rPr>
                <w:rFonts w:ascii="Arial" w:eastAsia="Times New Roman" w:hAnsi="Arial" w:cs="Arial"/>
                <w:b w:val="0"/>
                <w:bCs w:val="0"/>
                <w:color w:val="333333"/>
                <w:spacing w:val="3"/>
                <w:lang w:eastAsia="en-US"/>
              </w:rPr>
              <w:t>Carl Olden, MD</w:t>
            </w:r>
          </w:p>
        </w:tc>
        <w:tc>
          <w:tcPr>
            <w:tcW w:w="0" w:type="auto"/>
            <w:hideMark/>
          </w:tcPr>
          <w:p w14:paraId="2C2A1528" w14:textId="77777777" w:rsidR="000D1BBA" w:rsidRPr="000D1BBA" w:rsidRDefault="000D1BBA" w:rsidP="000D1BB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pacing w:val="3"/>
                <w:lang w:eastAsia="en-US"/>
              </w:rPr>
            </w:pPr>
            <w:r w:rsidRPr="000D1BBA">
              <w:rPr>
                <w:rFonts w:ascii="Arial" w:eastAsia="Times New Roman" w:hAnsi="Arial" w:cs="Arial"/>
                <w:color w:val="333333"/>
                <w:spacing w:val="3"/>
                <w:lang w:eastAsia="en-US"/>
              </w:rPr>
              <w:t>Family Physician</w:t>
            </w:r>
          </w:p>
        </w:tc>
        <w:tc>
          <w:tcPr>
            <w:tcW w:w="0" w:type="auto"/>
            <w:hideMark/>
          </w:tcPr>
          <w:p w14:paraId="657A576D" w14:textId="77777777" w:rsidR="000D1BBA" w:rsidRPr="000D1BBA" w:rsidRDefault="000D1BBA" w:rsidP="000D1BB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pacing w:val="3"/>
                <w:lang w:eastAsia="en-US"/>
              </w:rPr>
            </w:pPr>
            <w:r w:rsidRPr="000D1BBA">
              <w:rPr>
                <w:rFonts w:ascii="Arial" w:eastAsia="Times New Roman" w:hAnsi="Arial" w:cs="Arial"/>
                <w:color w:val="333333"/>
                <w:spacing w:val="3"/>
                <w:lang w:eastAsia="en-US"/>
              </w:rPr>
              <w:t>Pacific Crest Family Medicine, Yakima</w:t>
            </w:r>
          </w:p>
        </w:tc>
      </w:tr>
      <w:tr w:rsidR="000D1BBA" w:rsidRPr="000D1BBA" w14:paraId="417DB156" w14:textId="77777777" w:rsidTr="00C460C1">
        <w:tc>
          <w:tcPr>
            <w:cnfStyle w:val="001000000000" w:firstRow="0" w:lastRow="0" w:firstColumn="1" w:lastColumn="0" w:oddVBand="0" w:evenVBand="0" w:oddHBand="0" w:evenHBand="0" w:firstRowFirstColumn="0" w:firstRowLastColumn="0" w:lastRowFirstColumn="0" w:lastRowLastColumn="0"/>
            <w:tcW w:w="0" w:type="auto"/>
            <w:hideMark/>
          </w:tcPr>
          <w:p w14:paraId="34E09AFF" w14:textId="77777777" w:rsidR="000D1BBA" w:rsidRPr="000D1BBA" w:rsidRDefault="000D1BBA" w:rsidP="000D1BBA">
            <w:pPr>
              <w:rPr>
                <w:rFonts w:ascii="Arial" w:eastAsia="Times New Roman" w:hAnsi="Arial" w:cs="Arial"/>
                <w:b w:val="0"/>
                <w:bCs w:val="0"/>
                <w:color w:val="333333"/>
                <w:spacing w:val="3"/>
                <w:lang w:eastAsia="en-US"/>
              </w:rPr>
            </w:pPr>
            <w:r w:rsidRPr="000D1BBA">
              <w:rPr>
                <w:rFonts w:ascii="Arial" w:eastAsia="Times New Roman" w:hAnsi="Arial" w:cs="Arial"/>
                <w:b w:val="0"/>
                <w:bCs w:val="0"/>
                <w:color w:val="333333"/>
                <w:spacing w:val="3"/>
                <w:lang w:eastAsia="en-US"/>
              </w:rPr>
              <w:t>Nicole Saint Clair, MD</w:t>
            </w:r>
          </w:p>
        </w:tc>
        <w:tc>
          <w:tcPr>
            <w:tcW w:w="0" w:type="auto"/>
            <w:hideMark/>
          </w:tcPr>
          <w:p w14:paraId="27A6E69B" w14:textId="77777777" w:rsidR="000D1BBA" w:rsidRPr="000D1BBA" w:rsidRDefault="000D1BBA" w:rsidP="000D1B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pacing w:val="3"/>
                <w:lang w:eastAsia="en-US"/>
              </w:rPr>
            </w:pPr>
            <w:r w:rsidRPr="000D1BBA">
              <w:rPr>
                <w:rFonts w:ascii="Arial" w:eastAsia="Times New Roman" w:hAnsi="Arial" w:cs="Arial"/>
                <w:color w:val="333333"/>
                <w:spacing w:val="3"/>
                <w:lang w:eastAsia="en-US"/>
              </w:rPr>
              <w:t>Executive Medical Director</w:t>
            </w:r>
          </w:p>
        </w:tc>
        <w:tc>
          <w:tcPr>
            <w:tcW w:w="0" w:type="auto"/>
            <w:hideMark/>
          </w:tcPr>
          <w:p w14:paraId="48E9841A" w14:textId="77777777" w:rsidR="000D1BBA" w:rsidRPr="000D1BBA" w:rsidRDefault="000D1BBA" w:rsidP="000D1B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pacing w:val="3"/>
                <w:lang w:eastAsia="en-US"/>
              </w:rPr>
            </w:pPr>
            <w:r w:rsidRPr="000D1BBA">
              <w:rPr>
                <w:rFonts w:ascii="Arial" w:eastAsia="Times New Roman" w:hAnsi="Arial" w:cs="Arial"/>
                <w:color w:val="333333"/>
                <w:spacing w:val="3"/>
                <w:lang w:eastAsia="en-US"/>
              </w:rPr>
              <w:t>Regence BlueShield</w:t>
            </w:r>
          </w:p>
        </w:tc>
      </w:tr>
      <w:tr w:rsidR="000D1BBA" w:rsidRPr="000D1BBA" w14:paraId="64602CB3" w14:textId="77777777" w:rsidTr="00C46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E090C8F" w14:textId="77777777" w:rsidR="000D1BBA" w:rsidRPr="000D1BBA" w:rsidRDefault="000D1BBA" w:rsidP="000D1BBA">
            <w:pPr>
              <w:rPr>
                <w:rFonts w:ascii="Arial" w:eastAsia="Times New Roman" w:hAnsi="Arial" w:cs="Arial"/>
                <w:b w:val="0"/>
                <w:bCs w:val="0"/>
                <w:color w:val="333333"/>
                <w:spacing w:val="3"/>
                <w:lang w:eastAsia="en-US"/>
              </w:rPr>
            </w:pPr>
            <w:r w:rsidRPr="000D1BBA">
              <w:rPr>
                <w:rFonts w:ascii="Arial" w:eastAsia="Times New Roman" w:hAnsi="Arial" w:cs="Arial"/>
                <w:b w:val="0"/>
                <w:bCs w:val="0"/>
                <w:color w:val="333333"/>
                <w:spacing w:val="3"/>
                <w:lang w:eastAsia="en-US"/>
              </w:rPr>
              <w:t>Mary Kay O’Neill, MD, MBA</w:t>
            </w:r>
          </w:p>
        </w:tc>
        <w:tc>
          <w:tcPr>
            <w:tcW w:w="0" w:type="auto"/>
            <w:hideMark/>
          </w:tcPr>
          <w:p w14:paraId="0C337509" w14:textId="77777777" w:rsidR="000D1BBA" w:rsidRPr="000D1BBA" w:rsidRDefault="000D1BBA" w:rsidP="000D1BB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pacing w:val="3"/>
                <w:lang w:eastAsia="en-US"/>
              </w:rPr>
            </w:pPr>
            <w:r w:rsidRPr="000D1BBA">
              <w:rPr>
                <w:rFonts w:ascii="Arial" w:eastAsia="Times New Roman" w:hAnsi="Arial" w:cs="Arial"/>
                <w:color w:val="333333"/>
                <w:spacing w:val="3"/>
                <w:lang w:eastAsia="en-US"/>
              </w:rPr>
              <w:t>Partner</w:t>
            </w:r>
          </w:p>
        </w:tc>
        <w:tc>
          <w:tcPr>
            <w:tcW w:w="0" w:type="auto"/>
            <w:hideMark/>
          </w:tcPr>
          <w:p w14:paraId="2D1D9EC1" w14:textId="77777777" w:rsidR="000D1BBA" w:rsidRPr="000D1BBA" w:rsidRDefault="000D1BBA" w:rsidP="000D1BB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pacing w:val="3"/>
                <w:lang w:eastAsia="en-US"/>
              </w:rPr>
            </w:pPr>
            <w:r w:rsidRPr="000D1BBA">
              <w:rPr>
                <w:rFonts w:ascii="Arial" w:eastAsia="Times New Roman" w:hAnsi="Arial" w:cs="Arial"/>
                <w:color w:val="333333"/>
                <w:spacing w:val="3"/>
                <w:lang w:eastAsia="en-US"/>
              </w:rPr>
              <w:t>Mercer</w:t>
            </w:r>
          </w:p>
        </w:tc>
      </w:tr>
      <w:tr w:rsidR="000D1BBA" w:rsidRPr="000D1BBA" w14:paraId="5F4FC697" w14:textId="77777777" w:rsidTr="00C460C1">
        <w:tc>
          <w:tcPr>
            <w:cnfStyle w:val="001000000000" w:firstRow="0" w:lastRow="0" w:firstColumn="1" w:lastColumn="0" w:oddVBand="0" w:evenVBand="0" w:oddHBand="0" w:evenHBand="0" w:firstRowFirstColumn="0" w:firstRowLastColumn="0" w:lastRowFirstColumn="0" w:lastRowLastColumn="0"/>
            <w:tcW w:w="0" w:type="auto"/>
            <w:hideMark/>
          </w:tcPr>
          <w:p w14:paraId="589FC005" w14:textId="77777777" w:rsidR="000D1BBA" w:rsidRPr="000D1BBA" w:rsidRDefault="000D1BBA" w:rsidP="000D1BBA">
            <w:pPr>
              <w:rPr>
                <w:rFonts w:ascii="Arial" w:eastAsia="Times New Roman" w:hAnsi="Arial" w:cs="Arial"/>
                <w:b w:val="0"/>
                <w:bCs w:val="0"/>
                <w:color w:val="333333"/>
                <w:spacing w:val="3"/>
                <w:lang w:eastAsia="en-US"/>
              </w:rPr>
            </w:pPr>
            <w:r w:rsidRPr="000D1BBA">
              <w:rPr>
                <w:rFonts w:ascii="Arial" w:eastAsia="Times New Roman" w:hAnsi="Arial" w:cs="Arial"/>
                <w:b w:val="0"/>
                <w:bCs w:val="0"/>
                <w:color w:val="333333"/>
                <w:spacing w:val="3"/>
                <w:lang w:eastAsia="en-US"/>
              </w:rPr>
              <w:t>Susanne Quistgaard, MD</w:t>
            </w:r>
          </w:p>
        </w:tc>
        <w:tc>
          <w:tcPr>
            <w:tcW w:w="0" w:type="auto"/>
            <w:hideMark/>
          </w:tcPr>
          <w:p w14:paraId="0396565D" w14:textId="77777777" w:rsidR="000D1BBA" w:rsidRPr="000D1BBA" w:rsidRDefault="000D1BBA" w:rsidP="000D1B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pacing w:val="3"/>
                <w:lang w:eastAsia="en-US"/>
              </w:rPr>
            </w:pPr>
            <w:r w:rsidRPr="000D1BBA">
              <w:rPr>
                <w:rFonts w:ascii="Arial" w:eastAsia="Times New Roman" w:hAnsi="Arial" w:cs="Arial"/>
                <w:color w:val="333333"/>
                <w:spacing w:val="3"/>
                <w:lang w:eastAsia="en-US"/>
              </w:rPr>
              <w:t>Medical Director, Provider Strategies</w:t>
            </w:r>
          </w:p>
        </w:tc>
        <w:tc>
          <w:tcPr>
            <w:tcW w:w="0" w:type="auto"/>
            <w:hideMark/>
          </w:tcPr>
          <w:p w14:paraId="397BD965" w14:textId="77777777" w:rsidR="000D1BBA" w:rsidRPr="000D1BBA" w:rsidRDefault="000D1BBA" w:rsidP="000D1B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pacing w:val="3"/>
                <w:lang w:eastAsia="en-US"/>
              </w:rPr>
            </w:pPr>
            <w:r w:rsidRPr="000D1BBA">
              <w:rPr>
                <w:rFonts w:ascii="Arial" w:eastAsia="Times New Roman" w:hAnsi="Arial" w:cs="Arial"/>
                <w:color w:val="333333"/>
                <w:spacing w:val="3"/>
                <w:lang w:eastAsia="en-US"/>
              </w:rPr>
              <w:t>Premera Blue Cross</w:t>
            </w:r>
          </w:p>
        </w:tc>
      </w:tr>
      <w:tr w:rsidR="000D1BBA" w:rsidRPr="000D1BBA" w14:paraId="7B1142DA" w14:textId="77777777" w:rsidTr="00C46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28272F6" w14:textId="77777777" w:rsidR="000D1BBA" w:rsidRPr="000D1BBA" w:rsidRDefault="000D1BBA" w:rsidP="000D1BBA">
            <w:pPr>
              <w:rPr>
                <w:rFonts w:ascii="Arial" w:eastAsia="Times New Roman" w:hAnsi="Arial" w:cs="Arial"/>
                <w:b w:val="0"/>
                <w:bCs w:val="0"/>
                <w:color w:val="333333"/>
                <w:spacing w:val="3"/>
                <w:lang w:eastAsia="en-US"/>
              </w:rPr>
            </w:pPr>
            <w:r w:rsidRPr="000D1BBA">
              <w:rPr>
                <w:rFonts w:ascii="Arial" w:eastAsia="Times New Roman" w:hAnsi="Arial" w:cs="Arial"/>
                <w:b w:val="0"/>
                <w:bCs w:val="0"/>
                <w:color w:val="333333"/>
                <w:spacing w:val="3"/>
                <w:lang w:eastAsia="en-US"/>
              </w:rPr>
              <w:t>Emily Transue, MD, MHA (Chair)</w:t>
            </w:r>
          </w:p>
        </w:tc>
        <w:tc>
          <w:tcPr>
            <w:tcW w:w="0" w:type="auto"/>
            <w:hideMark/>
          </w:tcPr>
          <w:p w14:paraId="3181149F" w14:textId="77777777" w:rsidR="000D1BBA" w:rsidRPr="000D1BBA" w:rsidRDefault="000D1BBA" w:rsidP="000D1BB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pacing w:val="3"/>
                <w:lang w:eastAsia="en-US"/>
              </w:rPr>
            </w:pPr>
            <w:r w:rsidRPr="000D1BBA">
              <w:rPr>
                <w:rFonts w:ascii="Arial" w:eastAsia="Times New Roman" w:hAnsi="Arial" w:cs="Arial"/>
                <w:color w:val="333333"/>
                <w:spacing w:val="3"/>
                <w:lang w:eastAsia="en-US"/>
              </w:rPr>
              <w:t>Chief Clinical Officer</w:t>
            </w:r>
          </w:p>
        </w:tc>
        <w:tc>
          <w:tcPr>
            <w:tcW w:w="0" w:type="auto"/>
            <w:hideMark/>
          </w:tcPr>
          <w:p w14:paraId="4000D5A7" w14:textId="77777777" w:rsidR="000D1BBA" w:rsidRPr="000D1BBA" w:rsidRDefault="000D1BBA" w:rsidP="000D1BB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pacing w:val="3"/>
                <w:lang w:eastAsia="en-US"/>
              </w:rPr>
            </w:pPr>
            <w:proofErr w:type="spellStart"/>
            <w:r w:rsidRPr="000D1BBA">
              <w:rPr>
                <w:rFonts w:ascii="Arial" w:eastAsia="Times New Roman" w:hAnsi="Arial" w:cs="Arial"/>
                <w:color w:val="333333"/>
                <w:spacing w:val="3"/>
                <w:lang w:eastAsia="en-US"/>
              </w:rPr>
              <w:t>Comagine</w:t>
            </w:r>
            <w:proofErr w:type="spellEnd"/>
            <w:r w:rsidRPr="000D1BBA">
              <w:rPr>
                <w:rFonts w:ascii="Arial" w:eastAsia="Times New Roman" w:hAnsi="Arial" w:cs="Arial"/>
                <w:color w:val="333333"/>
                <w:spacing w:val="3"/>
                <w:lang w:eastAsia="en-US"/>
              </w:rPr>
              <w:t xml:space="preserve"> Health</w:t>
            </w:r>
          </w:p>
        </w:tc>
      </w:tr>
      <w:tr w:rsidR="000D1BBA" w:rsidRPr="000D1BBA" w14:paraId="23553C7A" w14:textId="77777777" w:rsidTr="00C460C1">
        <w:tc>
          <w:tcPr>
            <w:cnfStyle w:val="001000000000" w:firstRow="0" w:lastRow="0" w:firstColumn="1" w:lastColumn="0" w:oddVBand="0" w:evenVBand="0" w:oddHBand="0" w:evenHBand="0" w:firstRowFirstColumn="0" w:firstRowLastColumn="0" w:lastRowFirstColumn="0" w:lastRowLastColumn="0"/>
            <w:tcW w:w="0" w:type="auto"/>
            <w:hideMark/>
          </w:tcPr>
          <w:p w14:paraId="603EA792" w14:textId="77777777" w:rsidR="000D1BBA" w:rsidRPr="000D1BBA" w:rsidRDefault="000D1BBA" w:rsidP="000D1BBA">
            <w:pPr>
              <w:rPr>
                <w:rFonts w:ascii="Arial" w:eastAsia="Times New Roman" w:hAnsi="Arial" w:cs="Arial"/>
                <w:b w:val="0"/>
                <w:bCs w:val="0"/>
                <w:color w:val="333333"/>
                <w:spacing w:val="3"/>
                <w:lang w:eastAsia="en-US"/>
              </w:rPr>
            </w:pPr>
            <w:r w:rsidRPr="000D1BBA">
              <w:rPr>
                <w:rFonts w:ascii="Arial" w:eastAsia="Times New Roman" w:hAnsi="Arial" w:cs="Arial"/>
                <w:b w:val="0"/>
                <w:bCs w:val="0"/>
                <w:color w:val="333333"/>
                <w:spacing w:val="3"/>
                <w:lang w:eastAsia="en-US"/>
              </w:rPr>
              <w:t>Judy Zerzan-Thul, MD, MPH</w:t>
            </w:r>
          </w:p>
        </w:tc>
        <w:tc>
          <w:tcPr>
            <w:tcW w:w="0" w:type="auto"/>
            <w:hideMark/>
          </w:tcPr>
          <w:p w14:paraId="5EAF67F9" w14:textId="77777777" w:rsidR="000D1BBA" w:rsidRPr="000D1BBA" w:rsidRDefault="000D1BBA" w:rsidP="000D1B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pacing w:val="3"/>
                <w:lang w:eastAsia="en-US"/>
              </w:rPr>
            </w:pPr>
            <w:r w:rsidRPr="000D1BBA">
              <w:rPr>
                <w:rFonts w:ascii="Arial" w:eastAsia="Times New Roman" w:hAnsi="Arial" w:cs="Arial"/>
                <w:color w:val="333333"/>
                <w:spacing w:val="3"/>
                <w:lang w:eastAsia="en-US"/>
              </w:rPr>
              <w:t>Chief Medical Officer</w:t>
            </w:r>
          </w:p>
        </w:tc>
        <w:tc>
          <w:tcPr>
            <w:tcW w:w="0" w:type="auto"/>
            <w:hideMark/>
          </w:tcPr>
          <w:p w14:paraId="0A34B6CB" w14:textId="77777777" w:rsidR="000D1BBA" w:rsidRPr="000D1BBA" w:rsidRDefault="000D1BBA" w:rsidP="000D1B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pacing w:val="3"/>
                <w:lang w:eastAsia="en-US"/>
              </w:rPr>
            </w:pPr>
            <w:r w:rsidRPr="000D1BBA">
              <w:rPr>
                <w:rFonts w:ascii="Arial" w:eastAsia="Times New Roman" w:hAnsi="Arial" w:cs="Arial"/>
                <w:color w:val="333333"/>
                <w:spacing w:val="3"/>
                <w:lang w:eastAsia="en-US"/>
              </w:rPr>
              <w:t>Washington State Health Care Authority</w:t>
            </w:r>
          </w:p>
        </w:tc>
      </w:tr>
      <w:bookmarkEnd w:id="57"/>
    </w:tbl>
    <w:p w14:paraId="47ABF291" w14:textId="77777777" w:rsidR="00650C74" w:rsidRDefault="00650C74">
      <w:pPr>
        <w:rPr>
          <w:rFonts w:asciiTheme="majorHAnsi" w:eastAsiaTheme="majorEastAsia" w:hAnsiTheme="majorHAnsi" w:cstheme="majorBidi"/>
          <w:color w:val="0F4761" w:themeColor="accent1" w:themeShade="BF"/>
          <w:sz w:val="26"/>
          <w:szCs w:val="26"/>
        </w:rPr>
      </w:pPr>
      <w:r>
        <w:br w:type="page"/>
      </w:r>
    </w:p>
    <w:p w14:paraId="197DAE25" w14:textId="4E1B5584" w:rsidR="00966EBD" w:rsidRDefault="00966EBD" w:rsidP="00966EBD">
      <w:pPr>
        <w:pStyle w:val="Heading2"/>
      </w:pPr>
      <w:bookmarkStart w:id="59" w:name="_Toc212542293"/>
      <w:r>
        <w:lastRenderedPageBreak/>
        <w:t xml:space="preserve">Appendix B. Surgical Optimization Workgroup </w:t>
      </w:r>
      <w:bookmarkEnd w:id="58"/>
      <w:r w:rsidR="000C2D0A">
        <w:t>Charter and Roster</w:t>
      </w:r>
      <w:bookmarkEnd w:id="59"/>
    </w:p>
    <w:p w14:paraId="32478197" w14:textId="77777777" w:rsidR="00EF41EE" w:rsidRPr="00684DCD" w:rsidRDefault="00EF41EE" w:rsidP="00EF41EE">
      <w:pPr>
        <w:pBdr>
          <w:top w:val="single" w:sz="4" w:space="1" w:color="auto"/>
          <w:bottom w:val="single" w:sz="4" w:space="1" w:color="auto"/>
        </w:pBdr>
        <w:shd w:val="clear" w:color="auto" w:fill="D9D9D9" w:themeFill="background1" w:themeFillShade="D9"/>
        <w:spacing w:after="0" w:line="240" w:lineRule="auto"/>
        <w:jc w:val="center"/>
        <w:rPr>
          <w:rFonts w:eastAsia="Times New Roman" w:cstheme="minorHAnsi"/>
          <w:b/>
        </w:rPr>
      </w:pPr>
      <w:r w:rsidRPr="00684DCD">
        <w:rPr>
          <w:rFonts w:eastAsia="Times New Roman" w:cstheme="minorHAnsi"/>
          <w:b/>
        </w:rPr>
        <w:t>The Bree Collaborative</w:t>
      </w:r>
    </w:p>
    <w:p w14:paraId="7C4359A4" w14:textId="77777777" w:rsidR="00EF41EE" w:rsidRPr="00684DCD" w:rsidRDefault="00EF41EE" w:rsidP="00EF41EE">
      <w:pPr>
        <w:keepNext/>
        <w:pBdr>
          <w:top w:val="single" w:sz="4" w:space="1" w:color="auto"/>
          <w:bottom w:val="single" w:sz="4" w:space="1" w:color="auto"/>
        </w:pBdr>
        <w:shd w:val="clear" w:color="auto" w:fill="D9D9D9" w:themeFill="background1" w:themeFillShade="D9"/>
        <w:spacing w:after="0" w:line="240" w:lineRule="auto"/>
        <w:jc w:val="center"/>
        <w:outlineLvl w:val="0"/>
        <w:rPr>
          <w:rFonts w:eastAsia="Times New Roman" w:cstheme="minorHAnsi"/>
          <w:b/>
        </w:rPr>
      </w:pPr>
      <w:bookmarkStart w:id="60" w:name="_Toc208568061"/>
      <w:bookmarkStart w:id="61" w:name="_Toc212542294"/>
      <w:r>
        <w:rPr>
          <w:rFonts w:eastAsia="Times New Roman" w:cstheme="minorHAnsi"/>
          <w:b/>
        </w:rPr>
        <w:t xml:space="preserve">Surgical Patient Optimization </w:t>
      </w:r>
      <w:r w:rsidRPr="00684DCD">
        <w:rPr>
          <w:rFonts w:eastAsia="Times New Roman" w:cstheme="minorHAnsi"/>
          <w:b/>
        </w:rPr>
        <w:t>Charter and Roster</w:t>
      </w:r>
      <w:bookmarkEnd w:id="60"/>
      <w:bookmarkEnd w:id="61"/>
      <w:r>
        <w:rPr>
          <w:rFonts w:eastAsia="Times New Roman" w:cstheme="minorHAnsi"/>
          <w:b/>
        </w:rPr>
        <w:t xml:space="preserve"> </w:t>
      </w:r>
    </w:p>
    <w:p w14:paraId="3ED2D5F9" w14:textId="77777777" w:rsidR="00EF41EE" w:rsidRPr="00D46847" w:rsidRDefault="00EF41EE" w:rsidP="00EF41EE">
      <w:pPr>
        <w:keepNext/>
        <w:spacing w:after="120" w:line="240" w:lineRule="auto"/>
        <w:contextualSpacing/>
        <w:outlineLvl w:val="0"/>
        <w:rPr>
          <w:rFonts w:eastAsia="Times New Roman" w:cstheme="minorHAnsi"/>
          <w:sz w:val="8"/>
        </w:rPr>
      </w:pPr>
    </w:p>
    <w:p w14:paraId="396792CA" w14:textId="77777777" w:rsidR="00EF41EE" w:rsidRPr="00684DCD" w:rsidRDefault="00EF41EE" w:rsidP="00EF41EE">
      <w:pPr>
        <w:keepNext/>
        <w:pBdr>
          <w:bottom w:val="single" w:sz="4" w:space="1" w:color="auto"/>
        </w:pBdr>
        <w:shd w:val="clear" w:color="auto" w:fill="F2F2F2" w:themeFill="background1" w:themeFillShade="F2"/>
        <w:spacing w:after="120" w:line="240" w:lineRule="auto"/>
        <w:outlineLvl w:val="0"/>
        <w:rPr>
          <w:rFonts w:eastAsia="Times New Roman" w:cstheme="minorHAnsi"/>
          <w:b/>
        </w:rPr>
      </w:pPr>
      <w:bookmarkStart w:id="62" w:name="_Toc208568062"/>
      <w:bookmarkStart w:id="63" w:name="_Toc212542295"/>
      <w:r w:rsidRPr="00684DCD">
        <w:rPr>
          <w:rFonts w:eastAsia="Times New Roman" w:cstheme="minorHAnsi"/>
          <w:b/>
        </w:rPr>
        <w:t>Problem Statement</w:t>
      </w:r>
      <w:bookmarkEnd w:id="62"/>
      <w:bookmarkEnd w:id="63"/>
      <w:r w:rsidRPr="00684DCD">
        <w:rPr>
          <w:rFonts w:eastAsia="Times New Roman" w:cstheme="minorHAnsi"/>
          <w:b/>
        </w:rPr>
        <w:t xml:space="preserve"> </w:t>
      </w:r>
    </w:p>
    <w:p w14:paraId="55772759" w14:textId="3F3BED38" w:rsidR="00EF41EE" w:rsidRDefault="00EF41EE" w:rsidP="00EF41EE">
      <w:pPr>
        <w:keepNext/>
        <w:spacing w:after="120" w:line="240" w:lineRule="auto"/>
        <w:contextualSpacing/>
        <w:outlineLvl w:val="0"/>
      </w:pPr>
      <w:bookmarkStart w:id="64" w:name="_Toc208568063"/>
      <w:bookmarkStart w:id="65" w:name="_Toc212542296"/>
      <w:r>
        <w:t xml:space="preserve">Modifiable attributes of patient health status such as anemia or blood sugar control can have negative consequences for recovery after surgery. </w:t>
      </w:r>
      <w:r w:rsidRPr="00185736">
        <w:t>Preoperatively anemic individuals have higher costs generally due to increased length of stay</w:t>
      </w:r>
      <w:r w:rsidR="003663AA">
        <w:rPr>
          <w:rFonts w:ascii="ZWAdobeF" w:hAnsi="ZWAdobeF" w:cs="ZWAdobeF"/>
          <w:sz w:val="2"/>
          <w:szCs w:val="2"/>
        </w:rPr>
        <w:t>36F</w:t>
      </w:r>
      <w:r>
        <w:rPr>
          <w:rStyle w:val="EndnoteReference"/>
        </w:rPr>
        <w:endnoteReference w:id="42"/>
      </w:r>
      <w:r w:rsidRPr="00185736">
        <w:t xml:space="preserve"> and even mild preoperative anemia is associated with an increase in 30-day morbidity</w:t>
      </w:r>
      <w:r w:rsidR="003663AA">
        <w:rPr>
          <w:rFonts w:ascii="ZWAdobeF" w:hAnsi="ZWAdobeF" w:cs="ZWAdobeF"/>
          <w:sz w:val="2"/>
          <w:szCs w:val="2"/>
        </w:rPr>
        <w:t>37F</w:t>
      </w:r>
      <w:r>
        <w:rPr>
          <w:rStyle w:val="EndnoteReference"/>
        </w:rPr>
        <w:endnoteReference w:id="43"/>
      </w:r>
      <w:r w:rsidRPr="00185736">
        <w:t xml:space="preserve"> lower quality of recovery and higher adjusted risk of death and disability</w:t>
      </w:r>
      <w:r>
        <w:t>.</w:t>
      </w:r>
      <w:r w:rsidR="003663AA">
        <w:rPr>
          <w:rFonts w:ascii="ZWAdobeF" w:hAnsi="ZWAdobeF" w:cs="ZWAdobeF"/>
          <w:sz w:val="2"/>
          <w:szCs w:val="2"/>
        </w:rPr>
        <w:t>38F</w:t>
      </w:r>
      <w:r>
        <w:rPr>
          <w:rStyle w:val="EndnoteReference"/>
        </w:rPr>
        <w:endnoteReference w:id="44"/>
      </w:r>
      <w:r w:rsidRPr="00185736">
        <w:t xml:space="preserve"> Some studies suggest poor A1c control preoperatively increases morbidity and mortality</w:t>
      </w:r>
      <w:r>
        <w:t>,</w:t>
      </w:r>
      <w:r w:rsidR="003663AA">
        <w:rPr>
          <w:rFonts w:ascii="ZWAdobeF" w:hAnsi="ZWAdobeF" w:cs="ZWAdobeF"/>
          <w:sz w:val="2"/>
          <w:szCs w:val="2"/>
        </w:rPr>
        <w:t>39F</w:t>
      </w:r>
      <w:r>
        <w:rPr>
          <w:rStyle w:val="EndnoteReference"/>
        </w:rPr>
        <w:endnoteReference w:id="45"/>
      </w:r>
      <w:r w:rsidRPr="00185736">
        <w:t xml:space="preserve"> but perioperative glucose is a stronger predictor of 30-day mortality</w:t>
      </w:r>
      <w:r>
        <w:t>.</w:t>
      </w:r>
      <w:r w:rsidR="003663AA">
        <w:rPr>
          <w:rFonts w:ascii="ZWAdobeF" w:hAnsi="ZWAdobeF" w:cs="ZWAdobeF"/>
          <w:sz w:val="2"/>
          <w:szCs w:val="2"/>
        </w:rPr>
        <w:t>40F</w:t>
      </w:r>
      <w:r>
        <w:rPr>
          <w:rStyle w:val="EndnoteReference"/>
        </w:rPr>
        <w:endnoteReference w:id="46"/>
      </w:r>
      <w:r w:rsidRPr="00185736">
        <w:t xml:space="preserve"> Enhanced Recovery After Surgery </w:t>
      </w:r>
      <w:r>
        <w:t>(</w:t>
      </w:r>
      <w:r w:rsidRPr="0084452C">
        <w:t>ERAS®</w:t>
      </w:r>
      <w:r>
        <w:t>)</w:t>
      </w:r>
      <w:r w:rsidR="003663AA">
        <w:rPr>
          <w:rFonts w:ascii="ZWAdobeF" w:hAnsi="ZWAdobeF" w:cs="ZWAdobeF"/>
          <w:sz w:val="2"/>
          <w:szCs w:val="2"/>
        </w:rPr>
        <w:t>41F</w:t>
      </w:r>
      <w:r>
        <w:rPr>
          <w:rStyle w:val="EndnoteReference"/>
        </w:rPr>
        <w:endnoteReference w:id="47"/>
      </w:r>
      <w:r>
        <w:t xml:space="preserve"> </w:t>
      </w:r>
      <w:r w:rsidRPr="00185736">
        <w:t>protocols improve length of stay and reduce total cost of care, complications</w:t>
      </w:r>
      <w:r>
        <w:t>,</w:t>
      </w:r>
      <w:r w:rsidRPr="00185736">
        <w:t xml:space="preserve"> and readmissions.</w:t>
      </w:r>
      <w:r w:rsidR="003663AA">
        <w:rPr>
          <w:rFonts w:ascii="ZWAdobeF" w:hAnsi="ZWAdobeF" w:cs="ZWAdobeF"/>
          <w:sz w:val="2"/>
          <w:szCs w:val="2"/>
        </w:rPr>
        <w:t>42F</w:t>
      </w:r>
      <w:r>
        <w:rPr>
          <w:rStyle w:val="EndnoteReference"/>
        </w:rPr>
        <w:endnoteReference w:id="48"/>
      </w:r>
      <w:r w:rsidRPr="00185736">
        <w:t xml:space="preserve"> </w:t>
      </w:r>
      <w:r>
        <w:t xml:space="preserve">However, Washington State has </w:t>
      </w:r>
      <w:r w:rsidRPr="00185736">
        <w:t xml:space="preserve">variation for A1c optimization </w:t>
      </w:r>
      <w:r>
        <w:t>before</w:t>
      </w:r>
      <w:r w:rsidRPr="00185736">
        <w:t xml:space="preserve"> surgery, perioperative glycemic control protocols, and perioperative anemia control. Black patients are </w:t>
      </w:r>
      <w:r>
        <w:t>three to four times</w:t>
      </w:r>
      <w:r w:rsidRPr="00185736">
        <w:t xml:space="preserve"> more likely to experience anemia</w:t>
      </w:r>
      <w:r>
        <w:t xml:space="preserve"> perioperatively</w:t>
      </w:r>
      <w:r w:rsidRPr="00185736">
        <w:t xml:space="preserve">; Black, Hispanic, </w:t>
      </w:r>
      <w:r>
        <w:t>American Indian/Alaska Native</w:t>
      </w:r>
      <w:r w:rsidRPr="00185736">
        <w:t xml:space="preserve"> patients more likely to experience uncontrolled diabetes/serum glucose, leading to inequitable outcomes.</w:t>
      </w:r>
      <w:bookmarkEnd w:id="64"/>
      <w:bookmarkEnd w:id="65"/>
    </w:p>
    <w:p w14:paraId="572D649C" w14:textId="77777777" w:rsidR="00EF41EE" w:rsidRPr="00D46847" w:rsidRDefault="00EF41EE" w:rsidP="00EF41EE">
      <w:pPr>
        <w:keepNext/>
        <w:spacing w:after="120" w:line="240" w:lineRule="auto"/>
        <w:contextualSpacing/>
        <w:outlineLvl w:val="0"/>
        <w:rPr>
          <w:sz w:val="8"/>
        </w:rPr>
      </w:pPr>
    </w:p>
    <w:p w14:paraId="0379A85D" w14:textId="77777777" w:rsidR="00EF41EE" w:rsidRPr="00684DCD" w:rsidRDefault="00EF41EE" w:rsidP="00EF41EE">
      <w:pPr>
        <w:keepNext/>
        <w:pBdr>
          <w:bottom w:val="single" w:sz="4" w:space="1" w:color="auto"/>
        </w:pBdr>
        <w:shd w:val="clear" w:color="auto" w:fill="F2F2F2" w:themeFill="background1" w:themeFillShade="F2"/>
        <w:tabs>
          <w:tab w:val="left" w:pos="4485"/>
          <w:tab w:val="left" w:pos="9450"/>
        </w:tabs>
        <w:spacing w:after="120" w:line="240" w:lineRule="auto"/>
        <w:outlineLvl w:val="0"/>
        <w:rPr>
          <w:rFonts w:eastAsia="Times New Roman" w:cstheme="minorHAnsi"/>
          <w:b/>
        </w:rPr>
      </w:pPr>
      <w:bookmarkStart w:id="66" w:name="_Toc208568064"/>
      <w:bookmarkStart w:id="67" w:name="_Toc212542297"/>
      <w:r w:rsidRPr="00684DCD">
        <w:rPr>
          <w:rFonts w:eastAsia="Times New Roman" w:cstheme="minorHAnsi"/>
          <w:b/>
        </w:rPr>
        <w:t>Aim</w:t>
      </w:r>
      <w:bookmarkEnd w:id="66"/>
      <w:bookmarkEnd w:id="67"/>
      <w:r>
        <w:rPr>
          <w:rFonts w:eastAsia="Times New Roman" w:cstheme="minorHAnsi"/>
          <w:b/>
        </w:rPr>
        <w:tab/>
      </w:r>
    </w:p>
    <w:p w14:paraId="6D3CBCA4" w14:textId="77777777" w:rsidR="00EF41EE" w:rsidRPr="00E01953" w:rsidRDefault="00EF41EE" w:rsidP="00EF41EE">
      <w:pPr>
        <w:tabs>
          <w:tab w:val="left" w:pos="9450"/>
        </w:tabs>
        <w:spacing w:before="120" w:after="120" w:line="288" w:lineRule="auto"/>
        <w:rPr>
          <w:rFonts w:eastAsia="Times New Roman" w:cstheme="minorHAnsi"/>
        </w:rPr>
      </w:pPr>
      <w:r w:rsidRPr="00224F55">
        <w:rPr>
          <w:rFonts w:eastAsia="Times New Roman" w:cstheme="minorHAnsi"/>
        </w:rPr>
        <w:t>To</w:t>
      </w:r>
      <w:r>
        <w:rPr>
          <w:rFonts w:eastAsia="Times New Roman" w:cstheme="minorHAnsi"/>
        </w:rPr>
        <w:t xml:space="preserve"> reduce surgical complications and cost by improving patient optimization before, during, and after surgery in Washington state.</w:t>
      </w:r>
    </w:p>
    <w:p w14:paraId="4E1DDD02" w14:textId="77777777" w:rsidR="00EF41EE" w:rsidRPr="00D46847" w:rsidRDefault="00EF41EE" w:rsidP="00EF41EE">
      <w:pPr>
        <w:keepNext/>
        <w:spacing w:after="120" w:line="240" w:lineRule="auto"/>
        <w:contextualSpacing/>
        <w:outlineLvl w:val="0"/>
        <w:rPr>
          <w:sz w:val="8"/>
        </w:rPr>
      </w:pPr>
    </w:p>
    <w:p w14:paraId="6AB47243" w14:textId="77777777" w:rsidR="00EF41EE" w:rsidRPr="00684DCD" w:rsidRDefault="00EF41EE" w:rsidP="00EF41EE">
      <w:pPr>
        <w:keepNext/>
        <w:pBdr>
          <w:bottom w:val="single" w:sz="4" w:space="1" w:color="auto"/>
        </w:pBdr>
        <w:shd w:val="clear" w:color="auto" w:fill="F2F2F2" w:themeFill="background1" w:themeFillShade="F2"/>
        <w:tabs>
          <w:tab w:val="left" w:pos="4485"/>
          <w:tab w:val="left" w:pos="9450"/>
        </w:tabs>
        <w:spacing w:after="120" w:line="240" w:lineRule="auto"/>
        <w:outlineLvl w:val="0"/>
        <w:rPr>
          <w:rFonts w:eastAsia="Times New Roman" w:cstheme="minorHAnsi"/>
          <w:b/>
        </w:rPr>
      </w:pPr>
      <w:bookmarkStart w:id="68" w:name="_Toc208568065"/>
      <w:bookmarkStart w:id="69" w:name="_Toc212542298"/>
      <w:r>
        <w:rPr>
          <w:rFonts w:eastAsia="Times New Roman" w:cstheme="minorHAnsi"/>
          <w:b/>
        </w:rPr>
        <w:t>Purpose</w:t>
      </w:r>
      <w:bookmarkEnd w:id="68"/>
      <w:bookmarkEnd w:id="69"/>
      <w:r>
        <w:rPr>
          <w:rFonts w:eastAsia="Times New Roman" w:cstheme="minorHAnsi"/>
          <w:b/>
        </w:rPr>
        <w:tab/>
      </w:r>
    </w:p>
    <w:p w14:paraId="27905AB2" w14:textId="77777777" w:rsidR="00EF41EE" w:rsidRDefault="00EF41EE" w:rsidP="00EF41EE">
      <w:pPr>
        <w:tabs>
          <w:tab w:val="left" w:pos="9450"/>
        </w:tabs>
        <w:spacing w:before="120" w:after="120" w:line="288" w:lineRule="auto"/>
        <w:rPr>
          <w:rFonts w:eastAsia="Times New Roman" w:cstheme="minorHAnsi"/>
        </w:rPr>
      </w:pPr>
      <w:r w:rsidRPr="00D46847">
        <w:rPr>
          <w:rFonts w:eastAsia="Times New Roman" w:cstheme="minorHAnsi"/>
        </w:rPr>
        <w:t>To propose</w:t>
      </w:r>
      <w:r w:rsidRPr="00D46847">
        <w:rPr>
          <w:rFonts w:eastAsia="Times New Roman" w:cstheme="minorHAnsi"/>
          <w:sz w:val="20"/>
          <w:szCs w:val="20"/>
        </w:rPr>
        <w:t xml:space="preserve"> </w:t>
      </w:r>
      <w:r>
        <w:rPr>
          <w:rFonts w:eastAsia="Times New Roman" w:cstheme="minorHAnsi"/>
        </w:rPr>
        <w:t>evidence-informed guidelines</w:t>
      </w:r>
      <w:r w:rsidRPr="00D46847">
        <w:rPr>
          <w:rFonts w:eastAsia="Times New Roman" w:cstheme="minorHAnsi"/>
        </w:rPr>
        <w:t xml:space="preserve"> to the full Bree Collaborative on</w:t>
      </w:r>
      <w:r>
        <w:rPr>
          <w:rFonts w:eastAsia="Times New Roman" w:cstheme="minorHAnsi"/>
        </w:rPr>
        <w:t xml:space="preserve"> practical and evidence-informed methods for improved surgical patient optimization for elective procedures, including:</w:t>
      </w:r>
    </w:p>
    <w:p w14:paraId="67F416C9" w14:textId="77777777" w:rsidR="00EF41EE" w:rsidRPr="00883889" w:rsidRDefault="00EF41EE" w:rsidP="00EF41EE">
      <w:pPr>
        <w:pStyle w:val="ListParagraph"/>
        <w:numPr>
          <w:ilvl w:val="0"/>
          <w:numId w:val="28"/>
        </w:numPr>
        <w:tabs>
          <w:tab w:val="left" w:pos="9450"/>
        </w:tabs>
        <w:spacing w:before="120" w:after="120" w:line="288" w:lineRule="auto"/>
        <w:rPr>
          <w:rFonts w:eastAsia="Times New Roman" w:cstheme="minorHAnsi"/>
        </w:rPr>
      </w:pPr>
      <w:r w:rsidRPr="00883889">
        <w:rPr>
          <w:rFonts w:eastAsia="Times New Roman" w:cstheme="minorHAnsi"/>
        </w:rPr>
        <w:t xml:space="preserve">Identify best practices for anemia and glycemic status optimization around surgery, including innovative/emerging strategies (e.g., CGM monitoring) </w:t>
      </w:r>
    </w:p>
    <w:p w14:paraId="1A1AF8BC" w14:textId="77777777" w:rsidR="00EF41EE" w:rsidRPr="00883889" w:rsidRDefault="00EF41EE" w:rsidP="00EF41EE">
      <w:pPr>
        <w:pStyle w:val="ListParagraph"/>
        <w:numPr>
          <w:ilvl w:val="0"/>
          <w:numId w:val="28"/>
        </w:numPr>
        <w:tabs>
          <w:tab w:val="left" w:pos="9450"/>
        </w:tabs>
        <w:spacing w:before="120" w:after="120" w:line="288" w:lineRule="auto"/>
        <w:rPr>
          <w:rFonts w:eastAsia="Times New Roman" w:cstheme="minorHAnsi"/>
        </w:rPr>
      </w:pPr>
      <w:r w:rsidRPr="00883889">
        <w:rPr>
          <w:rFonts w:eastAsia="Times New Roman" w:cstheme="minorHAnsi"/>
        </w:rPr>
        <w:t xml:space="preserve">Identify </w:t>
      </w:r>
      <w:r>
        <w:rPr>
          <w:rFonts w:eastAsia="Times New Roman" w:cstheme="minorHAnsi"/>
        </w:rPr>
        <w:t xml:space="preserve">and promote </w:t>
      </w:r>
      <w:r w:rsidRPr="00883889">
        <w:rPr>
          <w:rFonts w:eastAsia="Times New Roman" w:cstheme="minorHAnsi"/>
        </w:rPr>
        <w:t xml:space="preserve">evidence-based enhanced recovery after surgery protocols </w:t>
      </w:r>
    </w:p>
    <w:p w14:paraId="17C5045D" w14:textId="77777777" w:rsidR="00EF41EE" w:rsidRPr="00883889" w:rsidRDefault="00EF41EE" w:rsidP="00EF41EE">
      <w:pPr>
        <w:pStyle w:val="ListParagraph"/>
        <w:numPr>
          <w:ilvl w:val="0"/>
          <w:numId w:val="28"/>
        </w:numPr>
        <w:tabs>
          <w:tab w:val="left" w:pos="9450"/>
        </w:tabs>
        <w:spacing w:before="120" w:after="120" w:line="288" w:lineRule="auto"/>
        <w:rPr>
          <w:rFonts w:eastAsia="Times New Roman" w:cstheme="minorHAnsi"/>
        </w:rPr>
      </w:pPr>
      <w:r w:rsidRPr="00883889">
        <w:rPr>
          <w:rFonts w:eastAsia="Times New Roman" w:cstheme="minorHAnsi"/>
        </w:rPr>
        <w:t xml:space="preserve">Recommend strategies to integrate optimization of anemia and glycemic status (patients with and </w:t>
      </w:r>
      <w:r w:rsidRPr="00CE73DA">
        <w:rPr>
          <w:rFonts w:eastAsia="Times New Roman" w:cstheme="minorHAnsi"/>
          <w:b/>
          <w:bCs/>
        </w:rPr>
        <w:t>without</w:t>
      </w:r>
      <w:r w:rsidRPr="00883889">
        <w:rPr>
          <w:rFonts w:eastAsia="Times New Roman" w:cstheme="minorHAnsi"/>
        </w:rPr>
        <w:t xml:space="preserve"> diabetes) into perioperative protocols  </w:t>
      </w:r>
    </w:p>
    <w:p w14:paraId="7C4522DF" w14:textId="77777777" w:rsidR="00EF41EE" w:rsidRPr="00883889" w:rsidRDefault="00EF41EE" w:rsidP="00EF41EE">
      <w:pPr>
        <w:pStyle w:val="ListParagraph"/>
        <w:numPr>
          <w:ilvl w:val="0"/>
          <w:numId w:val="28"/>
        </w:numPr>
        <w:tabs>
          <w:tab w:val="left" w:pos="9450"/>
        </w:tabs>
        <w:spacing w:before="120" w:after="120" w:line="288" w:lineRule="auto"/>
        <w:rPr>
          <w:rFonts w:eastAsia="Times New Roman" w:cstheme="minorHAnsi"/>
        </w:rPr>
      </w:pPr>
      <w:r w:rsidRPr="00883889">
        <w:rPr>
          <w:rFonts w:eastAsia="Times New Roman" w:cstheme="minorHAnsi"/>
        </w:rPr>
        <w:t>Recommend strategies to standardize and increase use of enhanced recovery after surgery protocols in Washington state</w:t>
      </w:r>
    </w:p>
    <w:p w14:paraId="0357C2F8" w14:textId="77777777" w:rsidR="00EF41EE" w:rsidRPr="00883889" w:rsidRDefault="00EF41EE" w:rsidP="00EF41EE">
      <w:pPr>
        <w:pStyle w:val="ListParagraph"/>
        <w:numPr>
          <w:ilvl w:val="0"/>
          <w:numId w:val="28"/>
        </w:numPr>
        <w:tabs>
          <w:tab w:val="left" w:pos="9450"/>
        </w:tabs>
        <w:spacing w:before="120" w:after="120" w:line="288" w:lineRule="auto"/>
        <w:rPr>
          <w:rFonts w:eastAsia="Times New Roman" w:cstheme="minorHAnsi"/>
        </w:rPr>
      </w:pPr>
      <w:r w:rsidRPr="00883889">
        <w:rPr>
          <w:rFonts w:eastAsia="Times New Roman" w:cstheme="minorHAnsi"/>
        </w:rPr>
        <w:t xml:space="preserve">Recommend reimbursement structures and employer strategies to </w:t>
      </w:r>
      <w:proofErr w:type="gramStart"/>
      <w:r w:rsidRPr="00883889">
        <w:rPr>
          <w:rFonts w:eastAsia="Times New Roman" w:cstheme="minorHAnsi"/>
        </w:rPr>
        <w:t>incent</w:t>
      </w:r>
      <w:proofErr w:type="gramEnd"/>
      <w:r w:rsidRPr="00883889">
        <w:rPr>
          <w:rFonts w:eastAsia="Times New Roman" w:cstheme="minorHAnsi"/>
        </w:rPr>
        <w:t xml:space="preserve"> improved optimization of anemia, glycemic control and use of enhanced recovery after surgery protocols</w:t>
      </w:r>
    </w:p>
    <w:p w14:paraId="58DF649B" w14:textId="77777777" w:rsidR="00EF41EE" w:rsidRPr="00883889" w:rsidRDefault="00EF41EE" w:rsidP="00EF41EE">
      <w:pPr>
        <w:pStyle w:val="ListParagraph"/>
        <w:numPr>
          <w:ilvl w:val="0"/>
          <w:numId w:val="28"/>
        </w:numPr>
        <w:tabs>
          <w:tab w:val="left" w:pos="9450"/>
        </w:tabs>
        <w:spacing w:before="120" w:after="120" w:line="288" w:lineRule="auto"/>
        <w:rPr>
          <w:rFonts w:eastAsia="Times New Roman" w:cstheme="minorHAnsi"/>
        </w:rPr>
      </w:pPr>
      <w:r w:rsidRPr="00883889">
        <w:rPr>
          <w:rFonts w:eastAsia="Times New Roman" w:cstheme="minorHAnsi"/>
        </w:rPr>
        <w:t>Improved collaborative management of surgical patients between primary care and surgical care</w:t>
      </w:r>
    </w:p>
    <w:p w14:paraId="0D237736" w14:textId="77777777" w:rsidR="00EF41EE" w:rsidRPr="00883889" w:rsidRDefault="00EF41EE" w:rsidP="00EF41EE">
      <w:pPr>
        <w:pStyle w:val="ListParagraph"/>
        <w:numPr>
          <w:ilvl w:val="0"/>
          <w:numId w:val="28"/>
        </w:numPr>
        <w:tabs>
          <w:tab w:val="left" w:pos="9450"/>
        </w:tabs>
        <w:spacing w:before="120" w:after="120" w:line="288" w:lineRule="auto"/>
        <w:rPr>
          <w:rFonts w:eastAsia="Times New Roman" w:cstheme="minorHAnsi"/>
        </w:rPr>
      </w:pPr>
      <w:r w:rsidRPr="00883889">
        <w:rPr>
          <w:rFonts w:eastAsia="Times New Roman" w:cstheme="minorHAnsi"/>
        </w:rPr>
        <w:lastRenderedPageBreak/>
        <w:t>Identify best practices for systems with varying size/resource availability</w:t>
      </w:r>
    </w:p>
    <w:p w14:paraId="24A1117C" w14:textId="77777777" w:rsidR="00EF41EE" w:rsidRPr="00E01953" w:rsidRDefault="00EF41EE" w:rsidP="00EF41EE">
      <w:pPr>
        <w:pStyle w:val="ListParagraph"/>
        <w:numPr>
          <w:ilvl w:val="0"/>
          <w:numId w:val="28"/>
        </w:numPr>
        <w:tabs>
          <w:tab w:val="left" w:pos="9450"/>
        </w:tabs>
        <w:spacing w:before="120" w:after="120" w:line="288" w:lineRule="auto"/>
        <w:rPr>
          <w:rFonts w:eastAsia="Times New Roman" w:cstheme="minorHAnsi"/>
        </w:rPr>
      </w:pPr>
      <w:r>
        <w:rPr>
          <w:rFonts w:eastAsia="Times New Roman" w:cstheme="minorHAnsi"/>
        </w:rPr>
        <w:t>Other areas, as indicated</w:t>
      </w:r>
    </w:p>
    <w:p w14:paraId="522884BB" w14:textId="77777777" w:rsidR="00EF41EE" w:rsidRPr="00E01953" w:rsidRDefault="00EF41EE" w:rsidP="00EF41EE">
      <w:pPr>
        <w:pStyle w:val="ListParagraph"/>
        <w:keepNext/>
        <w:spacing w:after="0" w:line="240" w:lineRule="auto"/>
        <w:outlineLvl w:val="2"/>
        <w:rPr>
          <w:rFonts w:eastAsia="Times New Roman" w:cstheme="minorHAnsi"/>
        </w:rPr>
      </w:pPr>
    </w:p>
    <w:p w14:paraId="7778ED18" w14:textId="77777777" w:rsidR="00EF41EE" w:rsidRPr="007C7248" w:rsidRDefault="00EF41EE" w:rsidP="00EF41EE">
      <w:pPr>
        <w:keepNext/>
        <w:pBdr>
          <w:bottom w:val="single" w:sz="4" w:space="1" w:color="auto"/>
        </w:pBdr>
        <w:shd w:val="clear" w:color="auto" w:fill="F2F2F2" w:themeFill="background1" w:themeFillShade="F2"/>
        <w:spacing w:after="120" w:line="240" w:lineRule="auto"/>
        <w:outlineLvl w:val="2"/>
        <w:rPr>
          <w:rFonts w:eastAsia="Times New Roman" w:cstheme="minorHAnsi"/>
          <w:b/>
        </w:rPr>
      </w:pPr>
      <w:bookmarkStart w:id="70" w:name="_Toc208568066"/>
      <w:bookmarkStart w:id="71" w:name="_Toc212542299"/>
      <w:r>
        <w:rPr>
          <w:rFonts w:eastAsia="Times New Roman" w:cstheme="minorHAnsi"/>
          <w:b/>
        </w:rPr>
        <w:t>Out of Scope</w:t>
      </w:r>
      <w:bookmarkEnd w:id="70"/>
      <w:bookmarkEnd w:id="71"/>
    </w:p>
    <w:p w14:paraId="752CB8E3" w14:textId="77777777" w:rsidR="00EF41EE" w:rsidRDefault="00EF41EE" w:rsidP="00EF41EE">
      <w:pPr>
        <w:pStyle w:val="ListParagraph"/>
        <w:keepNext/>
        <w:numPr>
          <w:ilvl w:val="0"/>
          <w:numId w:val="29"/>
        </w:numPr>
        <w:spacing w:after="0" w:line="240" w:lineRule="auto"/>
        <w:outlineLvl w:val="2"/>
        <w:rPr>
          <w:rFonts w:eastAsia="Times New Roman" w:cstheme="minorHAnsi"/>
        </w:rPr>
      </w:pPr>
      <w:bookmarkStart w:id="72" w:name="_Toc208568067"/>
      <w:bookmarkStart w:id="73" w:name="_Toc212542300"/>
      <w:r>
        <w:rPr>
          <w:rFonts w:eastAsia="Times New Roman" w:cstheme="minorHAnsi"/>
        </w:rPr>
        <w:t>&lt;18 years of age</w:t>
      </w:r>
      <w:bookmarkEnd w:id="72"/>
      <w:bookmarkEnd w:id="73"/>
    </w:p>
    <w:p w14:paraId="4FBDD061" w14:textId="77777777" w:rsidR="00EF41EE" w:rsidRPr="009C76DB" w:rsidRDefault="00EF41EE" w:rsidP="00EF41EE">
      <w:pPr>
        <w:pStyle w:val="ListParagraph"/>
        <w:keepNext/>
        <w:numPr>
          <w:ilvl w:val="0"/>
          <w:numId w:val="29"/>
        </w:numPr>
        <w:spacing w:after="0" w:line="240" w:lineRule="auto"/>
        <w:outlineLvl w:val="2"/>
        <w:rPr>
          <w:rFonts w:eastAsia="Times New Roman" w:cstheme="minorHAnsi"/>
        </w:rPr>
      </w:pPr>
      <w:bookmarkStart w:id="74" w:name="_Toc208568068"/>
      <w:bookmarkStart w:id="75" w:name="_Toc212542301"/>
      <w:proofErr w:type="gramStart"/>
      <w:r>
        <w:rPr>
          <w:rFonts w:eastAsia="Times New Roman" w:cstheme="minorHAnsi"/>
        </w:rPr>
        <w:t>Emergent</w:t>
      </w:r>
      <w:proofErr w:type="gramEnd"/>
      <w:r>
        <w:rPr>
          <w:rFonts w:eastAsia="Times New Roman" w:cstheme="minorHAnsi"/>
        </w:rPr>
        <w:t xml:space="preserve"> procedures</w:t>
      </w:r>
      <w:bookmarkEnd w:id="74"/>
      <w:bookmarkEnd w:id="75"/>
    </w:p>
    <w:p w14:paraId="3FEFF314" w14:textId="77777777" w:rsidR="00EF41EE" w:rsidRDefault="00EF41EE" w:rsidP="00EF41EE">
      <w:pPr>
        <w:pStyle w:val="ListParagraph"/>
        <w:keepNext/>
        <w:numPr>
          <w:ilvl w:val="0"/>
          <w:numId w:val="29"/>
        </w:numPr>
        <w:spacing w:after="0" w:line="240" w:lineRule="auto"/>
        <w:outlineLvl w:val="2"/>
        <w:rPr>
          <w:rFonts w:eastAsia="Times New Roman" w:cstheme="minorHAnsi"/>
        </w:rPr>
      </w:pPr>
      <w:bookmarkStart w:id="76" w:name="_Toc208568069"/>
      <w:bookmarkStart w:id="77" w:name="_Toc212542302"/>
      <w:r>
        <w:rPr>
          <w:rFonts w:eastAsia="Times New Roman" w:cstheme="minorHAnsi"/>
        </w:rPr>
        <w:t>Best practices for other indicators for surgical optimization (e.g., blood pressure</w:t>
      </w:r>
      <w:r w:rsidRPr="00292C81">
        <w:rPr>
          <w:rFonts w:eastAsia="Times New Roman" w:cstheme="minorHAnsi"/>
        </w:rPr>
        <w:t>, EtOH, nicotine, opioid</w:t>
      </w:r>
      <w:r>
        <w:rPr>
          <w:rFonts w:eastAsia="Times New Roman" w:cstheme="minorHAnsi"/>
        </w:rPr>
        <w:t>s)</w:t>
      </w:r>
      <w:bookmarkEnd w:id="76"/>
      <w:bookmarkEnd w:id="77"/>
    </w:p>
    <w:p w14:paraId="734D17EF" w14:textId="77777777" w:rsidR="00EF41EE" w:rsidRDefault="00EF41EE" w:rsidP="00EF41EE">
      <w:pPr>
        <w:pStyle w:val="ListParagraph"/>
        <w:keepNext/>
        <w:numPr>
          <w:ilvl w:val="0"/>
          <w:numId w:val="29"/>
        </w:numPr>
        <w:spacing w:after="0" w:line="240" w:lineRule="auto"/>
        <w:outlineLvl w:val="2"/>
        <w:rPr>
          <w:rFonts w:eastAsia="Times New Roman" w:cstheme="minorHAnsi"/>
        </w:rPr>
      </w:pPr>
      <w:bookmarkStart w:id="78" w:name="_Toc208568070"/>
      <w:bookmarkStart w:id="79" w:name="_Toc212542303"/>
      <w:r>
        <w:rPr>
          <w:rFonts w:eastAsia="Times New Roman" w:cstheme="minorHAnsi"/>
        </w:rPr>
        <w:t>Transitions of care (e.g., hospital discharge)</w:t>
      </w:r>
      <w:bookmarkEnd w:id="78"/>
      <w:bookmarkEnd w:id="79"/>
    </w:p>
    <w:p w14:paraId="6F9C2B93" w14:textId="77777777" w:rsidR="00EF41EE" w:rsidRPr="00BD080E" w:rsidRDefault="00EF41EE" w:rsidP="00EF41EE">
      <w:pPr>
        <w:pStyle w:val="ListParagraph"/>
        <w:keepNext/>
        <w:numPr>
          <w:ilvl w:val="0"/>
          <w:numId w:val="29"/>
        </w:numPr>
        <w:spacing w:after="0" w:line="240" w:lineRule="auto"/>
        <w:outlineLvl w:val="2"/>
        <w:rPr>
          <w:rFonts w:eastAsia="Times New Roman" w:cstheme="minorHAnsi"/>
        </w:rPr>
      </w:pPr>
      <w:bookmarkStart w:id="80" w:name="_Toc208568071"/>
      <w:bookmarkStart w:id="81" w:name="_Toc212542304"/>
      <w:proofErr w:type="gramStart"/>
      <w:r>
        <w:rPr>
          <w:rFonts w:eastAsia="Times New Roman" w:cstheme="minorHAnsi"/>
        </w:rPr>
        <w:t>Intraoperative best</w:t>
      </w:r>
      <w:proofErr w:type="gramEnd"/>
      <w:r>
        <w:rPr>
          <w:rFonts w:eastAsia="Times New Roman" w:cstheme="minorHAnsi"/>
        </w:rPr>
        <w:t xml:space="preserve"> practices for specific procedures</w:t>
      </w:r>
      <w:bookmarkEnd w:id="80"/>
      <w:bookmarkEnd w:id="81"/>
    </w:p>
    <w:p w14:paraId="55409B11" w14:textId="77777777" w:rsidR="00EF41EE" w:rsidRPr="00D46847" w:rsidRDefault="00EF41EE" w:rsidP="00EF41EE">
      <w:pPr>
        <w:keepNext/>
        <w:spacing w:after="0" w:line="240" w:lineRule="auto"/>
        <w:outlineLvl w:val="2"/>
        <w:rPr>
          <w:rFonts w:eastAsia="Times New Roman" w:cstheme="minorHAnsi"/>
          <w:b/>
          <w:sz w:val="16"/>
        </w:rPr>
      </w:pPr>
    </w:p>
    <w:p w14:paraId="2A89ADF9" w14:textId="77777777" w:rsidR="00EF41EE" w:rsidRPr="00D46847" w:rsidRDefault="00EF41EE" w:rsidP="00EF41EE">
      <w:pPr>
        <w:keepNext/>
        <w:pBdr>
          <w:bottom w:val="single" w:sz="4" w:space="1" w:color="auto"/>
        </w:pBdr>
        <w:shd w:val="clear" w:color="auto" w:fill="F2F2F2" w:themeFill="background1" w:themeFillShade="F2"/>
        <w:spacing w:after="120" w:line="240" w:lineRule="auto"/>
        <w:outlineLvl w:val="2"/>
        <w:rPr>
          <w:rFonts w:eastAsia="Times New Roman" w:cstheme="minorHAnsi"/>
          <w:b/>
        </w:rPr>
      </w:pPr>
      <w:bookmarkStart w:id="82" w:name="_Toc208568072"/>
      <w:bookmarkStart w:id="83" w:name="_Toc212542305"/>
      <w:r w:rsidRPr="00D46847">
        <w:rPr>
          <w:rFonts w:eastAsia="Times New Roman" w:cstheme="minorHAnsi"/>
          <w:b/>
        </w:rPr>
        <w:t>Duties &amp; Functions</w:t>
      </w:r>
      <w:bookmarkEnd w:id="82"/>
      <w:bookmarkEnd w:id="83"/>
    </w:p>
    <w:p w14:paraId="7EE3F847" w14:textId="77777777" w:rsidR="00EF41EE" w:rsidRPr="00D46847" w:rsidRDefault="00EF41EE" w:rsidP="00EF41EE">
      <w:pPr>
        <w:spacing w:after="0" w:line="240" w:lineRule="auto"/>
        <w:jc w:val="both"/>
        <w:rPr>
          <w:rFonts w:eastAsia="Times New Roman" w:cstheme="minorHAnsi"/>
        </w:rPr>
      </w:pPr>
      <w:r w:rsidRPr="00D46847">
        <w:rPr>
          <w:rFonts w:eastAsia="Times New Roman" w:cstheme="minorHAnsi"/>
        </w:rPr>
        <w:t>The workgroup will:</w:t>
      </w:r>
    </w:p>
    <w:p w14:paraId="0AB8BF4C" w14:textId="77777777" w:rsidR="00EF41EE" w:rsidRDefault="00EF41EE" w:rsidP="00EF41EE">
      <w:pPr>
        <w:numPr>
          <w:ilvl w:val="0"/>
          <w:numId w:val="27"/>
        </w:numPr>
        <w:spacing w:after="0" w:line="240" w:lineRule="auto"/>
        <w:jc w:val="both"/>
        <w:rPr>
          <w:rFonts w:eastAsia="Times New Roman" w:cstheme="minorHAnsi"/>
        </w:rPr>
      </w:pPr>
      <w:r w:rsidRPr="00D46847">
        <w:rPr>
          <w:rFonts w:eastAsia="Times New Roman" w:cstheme="minorHAnsi"/>
        </w:rPr>
        <w:t>Research evidence-</w:t>
      </w:r>
      <w:r>
        <w:rPr>
          <w:rFonts w:eastAsia="Times New Roman" w:cstheme="minorHAnsi"/>
        </w:rPr>
        <w:t>informed</w:t>
      </w:r>
      <w:r w:rsidRPr="00D46847">
        <w:rPr>
          <w:rFonts w:eastAsia="Times New Roman" w:cstheme="minorHAnsi"/>
        </w:rPr>
        <w:t xml:space="preserve"> and expert-opinion</w:t>
      </w:r>
      <w:r>
        <w:rPr>
          <w:rFonts w:eastAsia="Times New Roman" w:cstheme="minorHAnsi"/>
        </w:rPr>
        <w:t xml:space="preserve"> </w:t>
      </w:r>
      <w:r w:rsidRPr="00D46847">
        <w:rPr>
          <w:rFonts w:eastAsia="Times New Roman" w:cstheme="minorHAnsi"/>
        </w:rPr>
        <w:t xml:space="preserve">informed guidelines and best practices (emerging and established). </w:t>
      </w:r>
    </w:p>
    <w:p w14:paraId="6C8F71B1" w14:textId="77777777" w:rsidR="00EF41EE" w:rsidRPr="00D46847" w:rsidRDefault="00EF41EE" w:rsidP="00EF41EE">
      <w:pPr>
        <w:numPr>
          <w:ilvl w:val="0"/>
          <w:numId w:val="27"/>
        </w:numPr>
        <w:spacing w:after="0" w:line="240" w:lineRule="auto"/>
        <w:jc w:val="both"/>
        <w:rPr>
          <w:rFonts w:eastAsia="Times New Roman" w:cstheme="minorHAnsi"/>
        </w:rPr>
      </w:pPr>
      <w:r>
        <w:rPr>
          <w:rFonts w:eastAsia="Times New Roman" w:cstheme="minorHAnsi"/>
        </w:rPr>
        <w:t>Identify current barriers and future opportunities for implementing interventions.</w:t>
      </w:r>
    </w:p>
    <w:p w14:paraId="56097E26" w14:textId="77777777" w:rsidR="00EF41EE" w:rsidRPr="00D46847" w:rsidRDefault="00EF41EE" w:rsidP="00EF41EE">
      <w:pPr>
        <w:numPr>
          <w:ilvl w:val="0"/>
          <w:numId w:val="27"/>
        </w:numPr>
        <w:spacing w:after="0" w:line="240" w:lineRule="auto"/>
        <w:jc w:val="both"/>
        <w:rPr>
          <w:rFonts w:eastAsia="Times New Roman" w:cstheme="minorHAnsi"/>
        </w:rPr>
      </w:pPr>
      <w:r w:rsidRPr="00D46847">
        <w:rPr>
          <w:rFonts w:eastAsia="Times New Roman" w:cstheme="minorHAnsi"/>
        </w:rPr>
        <w:t xml:space="preserve">Consult relevant professional associations and other stakeholder organizations and subject matter experts for feedback, as appropriate. </w:t>
      </w:r>
    </w:p>
    <w:p w14:paraId="4539528B" w14:textId="77777777" w:rsidR="00EF41EE" w:rsidRPr="00D46847" w:rsidRDefault="00EF41EE" w:rsidP="00EF41EE">
      <w:pPr>
        <w:numPr>
          <w:ilvl w:val="0"/>
          <w:numId w:val="27"/>
        </w:numPr>
        <w:spacing w:after="0" w:line="240" w:lineRule="auto"/>
        <w:jc w:val="both"/>
        <w:rPr>
          <w:rFonts w:eastAsia="Times New Roman" w:cstheme="minorHAnsi"/>
        </w:rPr>
      </w:pPr>
      <w:r w:rsidRPr="00D46847">
        <w:rPr>
          <w:rFonts w:eastAsia="Times New Roman" w:cstheme="minorHAnsi"/>
        </w:rPr>
        <w:t xml:space="preserve">Meet for approximately </w:t>
      </w:r>
      <w:r>
        <w:rPr>
          <w:rFonts w:eastAsia="Times New Roman" w:cstheme="minorHAnsi"/>
        </w:rPr>
        <w:t xml:space="preserve">nine </w:t>
      </w:r>
      <w:r w:rsidRPr="00D46847">
        <w:rPr>
          <w:rFonts w:eastAsia="Times New Roman" w:cstheme="minorHAnsi"/>
        </w:rPr>
        <w:t xml:space="preserve">months, as needed. </w:t>
      </w:r>
    </w:p>
    <w:p w14:paraId="43207710" w14:textId="77777777" w:rsidR="00EF41EE" w:rsidRPr="00D46847" w:rsidRDefault="00EF41EE" w:rsidP="00EF41EE">
      <w:pPr>
        <w:numPr>
          <w:ilvl w:val="0"/>
          <w:numId w:val="27"/>
        </w:numPr>
        <w:spacing w:after="0" w:line="240" w:lineRule="auto"/>
        <w:jc w:val="both"/>
        <w:rPr>
          <w:rFonts w:eastAsia="Times New Roman" w:cstheme="minorHAnsi"/>
        </w:rPr>
      </w:pPr>
      <w:r w:rsidRPr="00D46847">
        <w:rPr>
          <w:rFonts w:eastAsia="Times New Roman" w:cstheme="minorHAnsi"/>
        </w:rPr>
        <w:t>Provide updates at Bree Collaborative meetings.</w:t>
      </w:r>
    </w:p>
    <w:p w14:paraId="4F846F1D" w14:textId="77777777" w:rsidR="00EF41EE" w:rsidRPr="00D46847" w:rsidRDefault="00EF41EE" w:rsidP="00EF41EE">
      <w:pPr>
        <w:numPr>
          <w:ilvl w:val="0"/>
          <w:numId w:val="27"/>
        </w:numPr>
        <w:spacing w:after="0" w:line="240" w:lineRule="auto"/>
        <w:jc w:val="both"/>
        <w:rPr>
          <w:rFonts w:eastAsia="Times New Roman" w:cstheme="minorHAnsi"/>
        </w:rPr>
      </w:pPr>
      <w:r w:rsidRPr="00D46847">
        <w:rPr>
          <w:rFonts w:eastAsia="Times New Roman" w:cstheme="minorHAnsi"/>
        </w:rPr>
        <w:t>Post draft report(s) on the Bree Collaborative website for public comment prior to sending report to the Bree Collaborative for approval and adoption.</w:t>
      </w:r>
    </w:p>
    <w:p w14:paraId="26A77E42" w14:textId="77777777" w:rsidR="00EF41EE" w:rsidRPr="00D46847" w:rsidRDefault="00EF41EE" w:rsidP="00EF41EE">
      <w:pPr>
        <w:numPr>
          <w:ilvl w:val="0"/>
          <w:numId w:val="27"/>
        </w:numPr>
        <w:spacing w:after="0" w:line="240" w:lineRule="auto"/>
        <w:jc w:val="both"/>
        <w:rPr>
          <w:rFonts w:eastAsia="Times New Roman" w:cstheme="minorHAnsi"/>
        </w:rPr>
      </w:pPr>
      <w:r w:rsidRPr="00D46847">
        <w:rPr>
          <w:rFonts w:eastAsia="Times New Roman" w:cstheme="minorHAnsi"/>
        </w:rPr>
        <w:t xml:space="preserve">Present findings and </w:t>
      </w:r>
      <w:r>
        <w:rPr>
          <w:rFonts w:eastAsia="Times New Roman" w:cstheme="minorHAnsi"/>
        </w:rPr>
        <w:t>guidelines</w:t>
      </w:r>
      <w:r w:rsidRPr="00D46847">
        <w:rPr>
          <w:rFonts w:eastAsia="Times New Roman" w:cstheme="minorHAnsi"/>
        </w:rPr>
        <w:t xml:space="preserve"> in a report.</w:t>
      </w:r>
    </w:p>
    <w:p w14:paraId="02A371D6" w14:textId="77777777" w:rsidR="00EF41EE" w:rsidRDefault="00EF41EE" w:rsidP="00EF41EE">
      <w:pPr>
        <w:numPr>
          <w:ilvl w:val="0"/>
          <w:numId w:val="27"/>
        </w:numPr>
        <w:spacing w:after="0" w:line="240" w:lineRule="auto"/>
        <w:jc w:val="both"/>
        <w:rPr>
          <w:rFonts w:eastAsia="Times New Roman" w:cstheme="minorHAnsi"/>
        </w:rPr>
      </w:pPr>
      <w:r>
        <w:rPr>
          <w:rFonts w:eastAsia="Times New Roman" w:cstheme="minorHAnsi"/>
        </w:rPr>
        <w:t xml:space="preserve">Recommend data-driven and practical implementation strategies including metrics or a process for measurement. </w:t>
      </w:r>
      <w:r w:rsidRPr="00873C76">
        <w:rPr>
          <w:rFonts w:eastAsia="Times New Roman" w:cstheme="minorHAnsi"/>
          <w:i/>
          <w:iCs/>
        </w:rPr>
        <w:t>(can be part of evaluation framework)</w:t>
      </w:r>
    </w:p>
    <w:p w14:paraId="5352D9A3" w14:textId="77777777" w:rsidR="00EF41EE" w:rsidRPr="00D46847" w:rsidRDefault="00EF41EE" w:rsidP="00EF41EE">
      <w:pPr>
        <w:numPr>
          <w:ilvl w:val="0"/>
          <w:numId w:val="26"/>
        </w:numPr>
        <w:spacing w:after="0" w:line="240" w:lineRule="auto"/>
        <w:ind w:left="720"/>
        <w:jc w:val="both"/>
        <w:rPr>
          <w:rFonts w:eastAsia="Times New Roman" w:cstheme="minorHAnsi"/>
        </w:rPr>
      </w:pPr>
      <w:r w:rsidRPr="00D46847">
        <w:rPr>
          <w:rFonts w:eastAsia="Times New Roman" w:cstheme="minorHAnsi"/>
        </w:rPr>
        <w:t>Create and oversee subsequent subgroups to help carry out the work, as needed.</w:t>
      </w:r>
    </w:p>
    <w:p w14:paraId="2C741337" w14:textId="77777777" w:rsidR="00EF41EE" w:rsidRPr="00CE49D6" w:rsidRDefault="00EF41EE" w:rsidP="00EF41EE">
      <w:pPr>
        <w:numPr>
          <w:ilvl w:val="0"/>
          <w:numId w:val="26"/>
        </w:numPr>
        <w:spacing w:after="0" w:line="240" w:lineRule="auto"/>
        <w:ind w:left="720"/>
        <w:jc w:val="both"/>
        <w:rPr>
          <w:rFonts w:eastAsia="Times New Roman"/>
        </w:rPr>
      </w:pPr>
      <w:r w:rsidRPr="00D46847">
        <w:rPr>
          <w:rFonts w:eastAsia="Times New Roman" w:cstheme="minorHAnsi"/>
        </w:rPr>
        <w:t xml:space="preserve">Revise this charter as necessary based on scope of work. </w:t>
      </w:r>
    </w:p>
    <w:p w14:paraId="7C11FD05" w14:textId="77777777" w:rsidR="00EF41EE" w:rsidRPr="00DE4323" w:rsidRDefault="00EF41EE" w:rsidP="00EF41EE">
      <w:pPr>
        <w:keepNext/>
        <w:spacing w:after="0" w:line="312" w:lineRule="auto"/>
        <w:outlineLvl w:val="2"/>
        <w:rPr>
          <w:rFonts w:eastAsia="Times New Roman" w:cstheme="minorHAnsi"/>
          <w:b/>
          <w:sz w:val="12"/>
        </w:rPr>
      </w:pPr>
    </w:p>
    <w:p w14:paraId="59249310" w14:textId="77777777" w:rsidR="00EF41EE" w:rsidRPr="00684DCD" w:rsidRDefault="00EF41EE" w:rsidP="00EF41EE">
      <w:pPr>
        <w:keepNext/>
        <w:pBdr>
          <w:bottom w:val="single" w:sz="4" w:space="1" w:color="auto"/>
        </w:pBdr>
        <w:shd w:val="clear" w:color="auto" w:fill="F2F2F2" w:themeFill="background1" w:themeFillShade="F2"/>
        <w:spacing w:after="120" w:line="312" w:lineRule="auto"/>
        <w:outlineLvl w:val="2"/>
        <w:rPr>
          <w:rFonts w:eastAsia="Times New Roman" w:cstheme="minorHAnsi"/>
          <w:b/>
        </w:rPr>
      </w:pPr>
      <w:bookmarkStart w:id="84" w:name="_Toc208568073"/>
      <w:bookmarkStart w:id="85" w:name="_Toc212542306"/>
      <w:r w:rsidRPr="00684DCD">
        <w:rPr>
          <w:rFonts w:eastAsia="Times New Roman" w:cstheme="minorHAnsi"/>
          <w:b/>
        </w:rPr>
        <w:t>Meetings</w:t>
      </w:r>
      <w:bookmarkEnd w:id="84"/>
      <w:bookmarkEnd w:id="85"/>
    </w:p>
    <w:p w14:paraId="6B2ABC87" w14:textId="77777777" w:rsidR="00EF41EE" w:rsidRPr="00684DCD" w:rsidRDefault="00EF41EE" w:rsidP="00EF41EE">
      <w:pPr>
        <w:spacing w:before="40" w:after="0" w:line="240" w:lineRule="auto"/>
        <w:jc w:val="both"/>
        <w:rPr>
          <w:rFonts w:eastAsia="Times New Roman" w:cstheme="minorHAnsi"/>
        </w:rPr>
      </w:pPr>
      <w:r w:rsidRPr="00684DCD">
        <w:rPr>
          <w:rFonts w:eastAsia="Times New Roman" w:cstheme="minorHAnsi"/>
        </w:rPr>
        <w:t>The workgroup will hold m</w:t>
      </w:r>
      <w:r>
        <w:rPr>
          <w:rFonts w:eastAsia="Times New Roman" w:cstheme="minorHAnsi"/>
        </w:rPr>
        <w:t>eetings as necessary</w:t>
      </w:r>
      <w:r w:rsidRPr="00684DCD">
        <w:rPr>
          <w:rFonts w:eastAsia="Times New Roman" w:cstheme="minorHAnsi"/>
        </w:rPr>
        <w:t>.</w:t>
      </w:r>
      <w:r>
        <w:rPr>
          <w:rFonts w:eastAsia="Times New Roman" w:cstheme="minorHAnsi"/>
        </w:rPr>
        <w:t xml:space="preserve"> </w:t>
      </w:r>
      <w:r w:rsidRPr="00684DCD">
        <w:rPr>
          <w:rFonts w:eastAsia="Times New Roman" w:cstheme="minorHAnsi"/>
        </w:rPr>
        <w:t>Less than the full workgroup may convene to: gather and discuss information; conduct research; analyze relevant issues and facts; or draft recommendations for the deliberation of the full workgroup. A quorum shall be a simple majority and shall be required to accept and approve recommendations to send to the Bree Collaborative.</w:t>
      </w:r>
    </w:p>
    <w:p w14:paraId="618F8093" w14:textId="77777777" w:rsidR="00EF41EE" w:rsidRDefault="00EF41EE" w:rsidP="00EF41EE">
      <w:pPr>
        <w:spacing w:after="0" w:line="240" w:lineRule="auto"/>
        <w:jc w:val="both"/>
        <w:rPr>
          <w:rFonts w:eastAsia="Times New Roman" w:cstheme="minorHAnsi"/>
        </w:rPr>
      </w:pPr>
    </w:p>
    <w:p w14:paraId="59447938" w14:textId="77777777" w:rsidR="00EF41EE" w:rsidRPr="00684DCD" w:rsidRDefault="00EF41EE" w:rsidP="00EF41EE">
      <w:pPr>
        <w:spacing w:after="0" w:line="240" w:lineRule="auto"/>
        <w:jc w:val="both"/>
        <w:rPr>
          <w:rFonts w:eastAsia="Times New Roman" w:cstheme="minorHAnsi"/>
        </w:rPr>
      </w:pPr>
      <w:r>
        <w:rPr>
          <w:rFonts w:eastAsia="Times New Roman" w:cstheme="minorHAnsi"/>
        </w:rPr>
        <w:t>Bree Collaborative staff</w:t>
      </w:r>
      <w:r w:rsidRPr="00684DCD">
        <w:rPr>
          <w:rFonts w:eastAsia="Times New Roman" w:cstheme="minorHAnsi"/>
        </w:rPr>
        <w:t xml:space="preserve"> will conduct meetings, arrange for the recording of each meeting, and distribute meeting agendas and other materials prior to each meeting. </w:t>
      </w:r>
      <w:r>
        <w:rPr>
          <w:rFonts w:eastAsia="Times New Roman" w:cstheme="minorHAnsi"/>
        </w:rPr>
        <w:t>Additional workgroup members may be added at the discretion of the Bree Collaborative director.</w:t>
      </w:r>
    </w:p>
    <w:p w14:paraId="32EB2FD0" w14:textId="77777777" w:rsidR="00EF41EE" w:rsidRPr="00DE4323" w:rsidRDefault="00EF41EE" w:rsidP="00EF41EE">
      <w:pPr>
        <w:spacing w:after="0" w:line="240" w:lineRule="auto"/>
        <w:rPr>
          <w:rFonts w:cstheme="minorHAnsi"/>
          <w:b/>
          <w:sz w:val="10"/>
        </w:rPr>
      </w:pPr>
    </w:p>
    <w:tbl>
      <w:tblPr>
        <w:tblStyle w:val="ListTable4-Accent4"/>
        <w:tblW w:w="5001" w:type="pct"/>
        <w:tblLook w:val="00A0" w:firstRow="1" w:lastRow="0" w:firstColumn="1" w:lastColumn="0" w:noHBand="0" w:noVBand="0"/>
      </w:tblPr>
      <w:tblGrid>
        <w:gridCol w:w="2716"/>
        <w:gridCol w:w="3707"/>
        <w:gridCol w:w="2929"/>
      </w:tblGrid>
      <w:tr w:rsidR="00EF41EE" w:rsidRPr="00684DCD" w14:paraId="0F0B2578" w14:textId="77777777" w:rsidTr="5C0C04E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2" w:type="pct"/>
          </w:tcPr>
          <w:p w14:paraId="03960992" w14:textId="77777777" w:rsidR="00EF41EE" w:rsidRPr="00DD4C72" w:rsidRDefault="00EF41EE">
            <w:pPr>
              <w:jc w:val="center"/>
              <w:rPr>
                <w:rFonts w:cstheme="minorHAnsi"/>
                <w:b w:val="0"/>
                <w:bCs w:val="0"/>
              </w:rPr>
            </w:pPr>
            <w:r w:rsidRPr="00DD4C72">
              <w:rPr>
                <w:rFonts w:cstheme="minorHAnsi"/>
              </w:rPr>
              <w:t>Name</w:t>
            </w:r>
          </w:p>
        </w:tc>
        <w:tc>
          <w:tcPr>
            <w:cnfStyle w:val="000010000000" w:firstRow="0" w:lastRow="0" w:firstColumn="0" w:lastColumn="0" w:oddVBand="1" w:evenVBand="0" w:oddHBand="0" w:evenHBand="0" w:firstRowFirstColumn="0" w:firstRowLastColumn="0" w:lastRowFirstColumn="0" w:lastRowLastColumn="0"/>
            <w:tcW w:w="1982" w:type="pct"/>
          </w:tcPr>
          <w:p w14:paraId="2DF9D2B3" w14:textId="77777777" w:rsidR="00EF41EE" w:rsidRPr="00DD4C72" w:rsidRDefault="00EF41EE">
            <w:pPr>
              <w:jc w:val="center"/>
              <w:rPr>
                <w:rFonts w:cstheme="minorHAnsi"/>
                <w:b w:val="0"/>
                <w:bCs w:val="0"/>
              </w:rPr>
            </w:pPr>
            <w:r w:rsidRPr="00DD4C72">
              <w:rPr>
                <w:rFonts w:cstheme="minorHAnsi"/>
              </w:rPr>
              <w:t>Title</w:t>
            </w:r>
          </w:p>
        </w:tc>
        <w:tc>
          <w:tcPr>
            <w:tcW w:w="1566" w:type="pct"/>
          </w:tcPr>
          <w:p w14:paraId="6414DA64" w14:textId="77777777" w:rsidR="00EF41EE" w:rsidRPr="00DD4C72" w:rsidRDefault="00EF41EE">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DD4C72">
              <w:rPr>
                <w:rFonts w:cstheme="minorHAnsi"/>
              </w:rPr>
              <w:t>Organization</w:t>
            </w:r>
          </w:p>
        </w:tc>
      </w:tr>
      <w:tr w:rsidR="00EF41EE" w:rsidRPr="00684DCD" w14:paraId="1B283815" w14:textId="77777777" w:rsidTr="5C0C04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2" w:type="pct"/>
          </w:tcPr>
          <w:p w14:paraId="39A918BA" w14:textId="77777777" w:rsidR="00EF41EE" w:rsidRPr="0098009C" w:rsidRDefault="00EF41EE">
            <w:pPr>
              <w:rPr>
                <w:rFonts w:cstheme="minorHAnsi"/>
              </w:rPr>
            </w:pPr>
            <w:r>
              <w:rPr>
                <w:rFonts w:cstheme="minorHAnsi"/>
              </w:rPr>
              <w:t>Carl Olden, MD (chair)</w:t>
            </w:r>
          </w:p>
        </w:tc>
        <w:tc>
          <w:tcPr>
            <w:cnfStyle w:val="000010000000" w:firstRow="0" w:lastRow="0" w:firstColumn="0" w:lastColumn="0" w:oddVBand="1" w:evenVBand="0" w:oddHBand="0" w:evenHBand="0" w:firstRowFirstColumn="0" w:firstRowLastColumn="0" w:lastRowFirstColumn="0" w:lastRowLastColumn="0"/>
            <w:tcW w:w="1982" w:type="pct"/>
          </w:tcPr>
          <w:p w14:paraId="272670E3" w14:textId="77777777" w:rsidR="00EF41EE" w:rsidRPr="0098009C" w:rsidRDefault="00EF41EE">
            <w:pPr>
              <w:rPr>
                <w:rFonts w:cstheme="minorHAnsi"/>
              </w:rPr>
            </w:pPr>
            <w:r>
              <w:rPr>
                <w:rFonts w:cstheme="minorHAnsi"/>
              </w:rPr>
              <w:t>UW Residency Program Manager, Family Medicine Physician</w:t>
            </w:r>
          </w:p>
        </w:tc>
        <w:tc>
          <w:tcPr>
            <w:tcW w:w="1566" w:type="pct"/>
          </w:tcPr>
          <w:p w14:paraId="08C57BBA" w14:textId="77777777" w:rsidR="00EF41EE" w:rsidRPr="0098009C" w:rsidRDefault="00EF41EE">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Central Washington Family Medicine</w:t>
            </w:r>
          </w:p>
        </w:tc>
      </w:tr>
      <w:tr w:rsidR="00EF41EE" w:rsidRPr="00684DCD" w14:paraId="74B52A6A" w14:textId="77777777" w:rsidTr="5C0C04E1">
        <w:trPr>
          <w:trHeight w:val="300"/>
        </w:trPr>
        <w:tc>
          <w:tcPr>
            <w:cnfStyle w:val="001000000000" w:firstRow="0" w:lastRow="0" w:firstColumn="1" w:lastColumn="0" w:oddVBand="0" w:evenVBand="0" w:oddHBand="0" w:evenHBand="0" w:firstRowFirstColumn="0" w:firstRowLastColumn="0" w:lastRowFirstColumn="0" w:lastRowLastColumn="0"/>
            <w:tcW w:w="1452" w:type="pct"/>
          </w:tcPr>
          <w:p w14:paraId="70FC493B" w14:textId="77777777" w:rsidR="00EF41EE" w:rsidRPr="0098009C" w:rsidRDefault="00EF41EE">
            <w:pPr>
              <w:rPr>
                <w:rFonts w:cstheme="minorHAnsi"/>
              </w:rPr>
            </w:pPr>
            <w:r w:rsidRPr="00C77B6C">
              <w:rPr>
                <w:rFonts w:cstheme="minorHAnsi"/>
              </w:rPr>
              <w:lastRenderedPageBreak/>
              <w:t>Nicholas J. Kassebaum, MD</w:t>
            </w:r>
          </w:p>
        </w:tc>
        <w:tc>
          <w:tcPr>
            <w:cnfStyle w:val="000010000000" w:firstRow="0" w:lastRow="0" w:firstColumn="0" w:lastColumn="0" w:oddVBand="1" w:evenVBand="0" w:oddHBand="0" w:evenHBand="0" w:firstRowFirstColumn="0" w:firstRowLastColumn="0" w:lastRowFirstColumn="0" w:lastRowLastColumn="0"/>
            <w:tcW w:w="1982" w:type="pct"/>
          </w:tcPr>
          <w:p w14:paraId="199240D7" w14:textId="77777777" w:rsidR="00EF41EE" w:rsidRPr="0098009C" w:rsidRDefault="00EF41EE">
            <w:pPr>
              <w:rPr>
                <w:rFonts w:cstheme="minorHAnsi"/>
              </w:rPr>
            </w:pPr>
            <w:r>
              <w:rPr>
                <w:rFonts w:cstheme="minorHAnsi"/>
              </w:rPr>
              <w:t>Medical Director</w:t>
            </w:r>
          </w:p>
        </w:tc>
        <w:tc>
          <w:tcPr>
            <w:tcW w:w="1566" w:type="pct"/>
          </w:tcPr>
          <w:p w14:paraId="1ACE3ADF" w14:textId="77777777" w:rsidR="00EF41EE" w:rsidRPr="0098009C" w:rsidRDefault="00EF41EE">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SCOAP/Spine COAP</w:t>
            </w:r>
          </w:p>
        </w:tc>
      </w:tr>
      <w:tr w:rsidR="00EF41EE" w:rsidRPr="00684DCD" w14:paraId="2A4574C1" w14:textId="77777777" w:rsidTr="5C0C04E1">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452" w:type="pct"/>
          </w:tcPr>
          <w:p w14:paraId="6529278E" w14:textId="77777777" w:rsidR="00EF41EE" w:rsidRPr="0098009C" w:rsidRDefault="00EF41EE">
            <w:pPr>
              <w:rPr>
                <w:rFonts w:cstheme="minorHAnsi"/>
              </w:rPr>
            </w:pPr>
            <w:r w:rsidRPr="00530EEA">
              <w:rPr>
                <w:rFonts w:cstheme="minorHAnsi"/>
              </w:rPr>
              <w:t>Vickie Kolios-Morris, MSHSA, CPHQ</w:t>
            </w:r>
          </w:p>
        </w:tc>
        <w:tc>
          <w:tcPr>
            <w:cnfStyle w:val="000010000000" w:firstRow="0" w:lastRow="0" w:firstColumn="0" w:lastColumn="0" w:oddVBand="1" w:evenVBand="0" w:oddHBand="0" w:evenHBand="0" w:firstRowFirstColumn="0" w:firstRowLastColumn="0" w:lastRowFirstColumn="0" w:lastRowLastColumn="0"/>
            <w:tcW w:w="1982" w:type="pct"/>
          </w:tcPr>
          <w:p w14:paraId="76DF66F2" w14:textId="77777777" w:rsidR="00EF41EE" w:rsidRPr="0098009C" w:rsidRDefault="00EF41EE">
            <w:pPr>
              <w:rPr>
                <w:rFonts w:cstheme="minorHAnsi"/>
              </w:rPr>
            </w:pPr>
            <w:r w:rsidRPr="009845C2">
              <w:rPr>
                <w:rFonts w:cstheme="minorHAnsi"/>
              </w:rPr>
              <w:t>Senior Program Director</w:t>
            </w:r>
          </w:p>
        </w:tc>
        <w:tc>
          <w:tcPr>
            <w:tcW w:w="1566" w:type="pct"/>
          </w:tcPr>
          <w:p w14:paraId="737D557C" w14:textId="77777777" w:rsidR="00EF41EE" w:rsidRPr="0098009C" w:rsidRDefault="00EF41EE">
            <w:pPr>
              <w:cnfStyle w:val="000000100000" w:firstRow="0" w:lastRow="0" w:firstColumn="0" w:lastColumn="0" w:oddVBand="0" w:evenVBand="0" w:oddHBand="1" w:evenHBand="0" w:firstRowFirstColumn="0" w:firstRowLastColumn="0" w:lastRowFirstColumn="0" w:lastRowLastColumn="0"/>
              <w:rPr>
                <w:rFonts w:cstheme="minorHAnsi"/>
              </w:rPr>
            </w:pPr>
            <w:r w:rsidRPr="00C77B6C">
              <w:rPr>
                <w:rFonts w:cstheme="minorHAnsi"/>
              </w:rPr>
              <w:t>Surgical COAP and Spine COAP, Foundation for Health Care Quality</w:t>
            </w:r>
          </w:p>
        </w:tc>
      </w:tr>
      <w:tr w:rsidR="00EF41EE" w:rsidRPr="00684DCD" w14:paraId="7C5915C4" w14:textId="77777777" w:rsidTr="5C0C04E1">
        <w:trPr>
          <w:trHeight w:val="305"/>
        </w:trPr>
        <w:tc>
          <w:tcPr>
            <w:cnfStyle w:val="001000000000" w:firstRow="0" w:lastRow="0" w:firstColumn="1" w:lastColumn="0" w:oddVBand="0" w:evenVBand="0" w:oddHBand="0" w:evenHBand="0" w:firstRowFirstColumn="0" w:firstRowLastColumn="0" w:lastRowFirstColumn="0" w:lastRowLastColumn="0"/>
            <w:tcW w:w="1452" w:type="pct"/>
          </w:tcPr>
          <w:p w14:paraId="459CC995" w14:textId="6548631A" w:rsidR="00EF41EE" w:rsidRPr="00AC4804" w:rsidRDefault="5C0C04E1" w:rsidP="5C0C04E1">
            <w:r w:rsidRPr="5C0C04E1">
              <w:t>Cristina Stafie, MD, FASA</w:t>
            </w:r>
          </w:p>
        </w:tc>
        <w:tc>
          <w:tcPr>
            <w:cnfStyle w:val="000010000000" w:firstRow="0" w:lastRow="0" w:firstColumn="0" w:lastColumn="0" w:oddVBand="1" w:evenVBand="0" w:oddHBand="0" w:evenHBand="0" w:firstRowFirstColumn="0" w:firstRowLastColumn="0" w:lastRowFirstColumn="0" w:lastRowLastColumn="0"/>
            <w:tcW w:w="1982" w:type="pct"/>
          </w:tcPr>
          <w:p w14:paraId="2AEE3F2F" w14:textId="77777777" w:rsidR="00EF41EE" w:rsidRPr="00AC4804" w:rsidRDefault="00EF41EE">
            <w:pPr>
              <w:rPr>
                <w:rFonts w:cstheme="minorHAnsi"/>
              </w:rPr>
            </w:pPr>
            <w:r w:rsidRPr="007B2F4D">
              <w:rPr>
                <w:rFonts w:cstheme="minorHAnsi"/>
              </w:rPr>
              <w:t xml:space="preserve">Medical Director Perioperative and Procedural Services </w:t>
            </w:r>
          </w:p>
        </w:tc>
        <w:tc>
          <w:tcPr>
            <w:tcW w:w="1566" w:type="pct"/>
          </w:tcPr>
          <w:p w14:paraId="10FAB0B0" w14:textId="77777777" w:rsidR="00EF41EE" w:rsidRPr="00AC4804" w:rsidRDefault="00EF41EE">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Kaiser Permanente</w:t>
            </w:r>
          </w:p>
        </w:tc>
      </w:tr>
      <w:tr w:rsidR="00EF41EE" w:rsidRPr="00684DCD" w14:paraId="4DD450FF" w14:textId="77777777" w:rsidTr="5C0C04E1">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452" w:type="pct"/>
          </w:tcPr>
          <w:p w14:paraId="00A50B80" w14:textId="77777777" w:rsidR="00EF41EE" w:rsidRPr="0098009C" w:rsidRDefault="00EF41EE">
            <w:pPr>
              <w:rPr>
                <w:rFonts w:cstheme="minorHAnsi"/>
              </w:rPr>
            </w:pPr>
            <w:r>
              <w:rPr>
                <w:rFonts w:cstheme="minorHAnsi"/>
              </w:rPr>
              <w:t>Dayna Weatherly-Wilson, RN</w:t>
            </w:r>
          </w:p>
        </w:tc>
        <w:tc>
          <w:tcPr>
            <w:cnfStyle w:val="000010000000" w:firstRow="0" w:lastRow="0" w:firstColumn="0" w:lastColumn="0" w:oddVBand="1" w:evenVBand="0" w:oddHBand="0" w:evenHBand="0" w:firstRowFirstColumn="0" w:firstRowLastColumn="0" w:lastRowFirstColumn="0" w:lastRowLastColumn="0"/>
            <w:tcW w:w="1982" w:type="pct"/>
          </w:tcPr>
          <w:p w14:paraId="56B6D463" w14:textId="77777777" w:rsidR="00EF41EE" w:rsidRPr="00B7451A" w:rsidRDefault="00EF41EE">
            <w:pPr>
              <w:rPr>
                <w:rFonts w:cstheme="minorHAnsi"/>
                <w:bCs/>
              </w:rPr>
            </w:pPr>
            <w:r w:rsidRPr="00B7451A">
              <w:rPr>
                <w:rFonts w:cstheme="minorHAnsi"/>
                <w:bCs/>
              </w:rPr>
              <w:t>Manager, Value Based Care</w:t>
            </w:r>
          </w:p>
        </w:tc>
        <w:tc>
          <w:tcPr>
            <w:tcW w:w="1566" w:type="pct"/>
          </w:tcPr>
          <w:p w14:paraId="3EFEBE38" w14:textId="77777777" w:rsidR="00EF41EE" w:rsidRPr="0098009C" w:rsidRDefault="00EF41EE">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Proliance</w:t>
            </w:r>
          </w:p>
        </w:tc>
      </w:tr>
      <w:tr w:rsidR="00EF41EE" w:rsidRPr="00684DCD" w14:paraId="04DEBE2C" w14:textId="77777777" w:rsidTr="5C0C04E1">
        <w:trPr>
          <w:trHeight w:val="305"/>
        </w:trPr>
        <w:tc>
          <w:tcPr>
            <w:cnfStyle w:val="001000000000" w:firstRow="0" w:lastRow="0" w:firstColumn="1" w:lastColumn="0" w:oddVBand="0" w:evenVBand="0" w:oddHBand="0" w:evenHBand="0" w:firstRowFirstColumn="0" w:firstRowLastColumn="0" w:lastRowFirstColumn="0" w:lastRowLastColumn="0"/>
            <w:tcW w:w="1452" w:type="pct"/>
          </w:tcPr>
          <w:p w14:paraId="65341AA1" w14:textId="77777777" w:rsidR="00EF41EE" w:rsidRPr="0098009C" w:rsidRDefault="00EF41EE">
            <w:pPr>
              <w:rPr>
                <w:rFonts w:cstheme="minorHAnsi"/>
              </w:rPr>
            </w:pPr>
            <w:r>
              <w:rPr>
                <w:rFonts w:cstheme="minorHAnsi"/>
              </w:rPr>
              <w:t>Eduardo Smith Singares, MD FACS, FCCM</w:t>
            </w:r>
          </w:p>
        </w:tc>
        <w:tc>
          <w:tcPr>
            <w:cnfStyle w:val="000010000000" w:firstRow="0" w:lastRow="0" w:firstColumn="0" w:lastColumn="0" w:oddVBand="1" w:evenVBand="0" w:oddHBand="0" w:evenHBand="0" w:firstRowFirstColumn="0" w:firstRowLastColumn="0" w:lastRowFirstColumn="0" w:lastRowLastColumn="0"/>
            <w:tcW w:w="1982" w:type="pct"/>
          </w:tcPr>
          <w:p w14:paraId="1AEE8415" w14:textId="77777777" w:rsidR="00EF41EE" w:rsidRPr="0098009C" w:rsidRDefault="00EF41EE">
            <w:pPr>
              <w:rPr>
                <w:rFonts w:cstheme="minorHAnsi"/>
              </w:rPr>
            </w:pPr>
            <w:r>
              <w:rPr>
                <w:rFonts w:cstheme="minorHAnsi"/>
              </w:rPr>
              <w:t>Medical Director for Trauma &amp; Emergency Surgical Services</w:t>
            </w:r>
          </w:p>
        </w:tc>
        <w:tc>
          <w:tcPr>
            <w:tcW w:w="1566" w:type="pct"/>
          </w:tcPr>
          <w:p w14:paraId="4B4DDB31" w14:textId="77777777" w:rsidR="00EF41EE" w:rsidRPr="0098009C" w:rsidRDefault="00EF41EE">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Kadlec Medical Center</w:t>
            </w:r>
          </w:p>
        </w:tc>
      </w:tr>
      <w:tr w:rsidR="00EF41EE" w:rsidRPr="00684DCD" w14:paraId="2575CD6A" w14:textId="77777777" w:rsidTr="5C0C04E1">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452" w:type="pct"/>
          </w:tcPr>
          <w:p w14:paraId="70324984" w14:textId="77777777" w:rsidR="00EF41EE" w:rsidRPr="0098009C" w:rsidRDefault="00EF41EE">
            <w:pPr>
              <w:rPr>
                <w:rFonts w:cstheme="minorHAnsi"/>
              </w:rPr>
            </w:pPr>
            <w:r>
              <w:rPr>
                <w:rFonts w:cstheme="minorHAnsi"/>
              </w:rPr>
              <w:t>Rosemary Grant, BSN, RN, CHPQ, CPPS</w:t>
            </w:r>
          </w:p>
        </w:tc>
        <w:tc>
          <w:tcPr>
            <w:cnfStyle w:val="000010000000" w:firstRow="0" w:lastRow="0" w:firstColumn="0" w:lastColumn="0" w:oddVBand="1" w:evenVBand="0" w:oddHBand="0" w:evenHBand="0" w:firstRowFirstColumn="0" w:firstRowLastColumn="0" w:lastRowFirstColumn="0" w:lastRowLastColumn="0"/>
            <w:tcW w:w="1982" w:type="pct"/>
          </w:tcPr>
          <w:p w14:paraId="543B3B3F" w14:textId="77777777" w:rsidR="00EF41EE" w:rsidRPr="0098009C" w:rsidRDefault="00EF41EE">
            <w:pPr>
              <w:rPr>
                <w:rFonts w:cstheme="minorHAnsi"/>
              </w:rPr>
            </w:pPr>
            <w:r>
              <w:rPr>
                <w:rFonts w:cstheme="minorHAnsi"/>
              </w:rPr>
              <w:t>Director, Clinical Excellence</w:t>
            </w:r>
          </w:p>
        </w:tc>
        <w:tc>
          <w:tcPr>
            <w:tcW w:w="1566" w:type="pct"/>
          </w:tcPr>
          <w:p w14:paraId="7F5CC81C" w14:textId="77777777" w:rsidR="00EF41EE" w:rsidRPr="0098009C" w:rsidRDefault="00EF41EE">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WSHA</w:t>
            </w:r>
          </w:p>
        </w:tc>
      </w:tr>
      <w:tr w:rsidR="00EF41EE" w:rsidRPr="00684DCD" w14:paraId="284F4CA5" w14:textId="77777777" w:rsidTr="5C0C04E1">
        <w:trPr>
          <w:trHeight w:val="305"/>
        </w:trPr>
        <w:tc>
          <w:tcPr>
            <w:cnfStyle w:val="001000000000" w:firstRow="0" w:lastRow="0" w:firstColumn="1" w:lastColumn="0" w:oddVBand="0" w:evenVBand="0" w:oddHBand="0" w:evenHBand="0" w:firstRowFirstColumn="0" w:firstRowLastColumn="0" w:lastRowFirstColumn="0" w:lastRowLastColumn="0"/>
            <w:tcW w:w="1452" w:type="pct"/>
          </w:tcPr>
          <w:p w14:paraId="33561D12" w14:textId="77777777" w:rsidR="00EF41EE" w:rsidRPr="005573D0" w:rsidRDefault="00EF41EE">
            <w:pPr>
              <w:rPr>
                <w:rFonts w:cstheme="minorHAnsi"/>
              </w:rPr>
            </w:pPr>
            <w:r>
              <w:rPr>
                <w:rFonts w:cstheme="minorHAnsi"/>
              </w:rPr>
              <w:t>Timothy Barnwell, MD</w:t>
            </w:r>
          </w:p>
        </w:tc>
        <w:tc>
          <w:tcPr>
            <w:cnfStyle w:val="000010000000" w:firstRow="0" w:lastRow="0" w:firstColumn="0" w:lastColumn="0" w:oddVBand="1" w:evenVBand="0" w:oddHBand="0" w:evenHBand="0" w:firstRowFirstColumn="0" w:firstRowLastColumn="0" w:lastRowFirstColumn="0" w:lastRowLastColumn="0"/>
            <w:tcW w:w="1982" w:type="pct"/>
          </w:tcPr>
          <w:p w14:paraId="09A612E9" w14:textId="77777777" w:rsidR="00EF41EE" w:rsidRPr="005573D0" w:rsidRDefault="00EF41EE">
            <w:pPr>
              <w:rPr>
                <w:rFonts w:cstheme="minorHAnsi"/>
              </w:rPr>
            </w:pPr>
            <w:r>
              <w:rPr>
                <w:rFonts w:cstheme="minorHAnsi"/>
              </w:rPr>
              <w:t>Anesthesiologist</w:t>
            </w:r>
          </w:p>
        </w:tc>
        <w:tc>
          <w:tcPr>
            <w:tcW w:w="1566" w:type="pct"/>
          </w:tcPr>
          <w:p w14:paraId="4330202E" w14:textId="77777777" w:rsidR="00EF41EE" w:rsidRPr="005573D0" w:rsidRDefault="00EF41EE">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Confluence </w:t>
            </w:r>
          </w:p>
        </w:tc>
      </w:tr>
      <w:tr w:rsidR="00EF41EE" w:rsidRPr="00684DCD" w14:paraId="182229B3" w14:textId="77777777" w:rsidTr="5C0C04E1">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452" w:type="pct"/>
          </w:tcPr>
          <w:p w14:paraId="053C17CF" w14:textId="77777777" w:rsidR="00EF41EE" w:rsidRPr="002966B9" w:rsidRDefault="00EF41EE">
            <w:pPr>
              <w:rPr>
                <w:rFonts w:cstheme="minorHAnsi"/>
              </w:rPr>
            </w:pPr>
            <w:r>
              <w:rPr>
                <w:rFonts w:cstheme="minorHAnsi"/>
              </w:rPr>
              <w:t>Nawar Alkhamesi, PhD, MBA</w:t>
            </w:r>
          </w:p>
        </w:tc>
        <w:tc>
          <w:tcPr>
            <w:cnfStyle w:val="000010000000" w:firstRow="0" w:lastRow="0" w:firstColumn="0" w:lastColumn="0" w:oddVBand="1" w:evenVBand="0" w:oddHBand="0" w:evenHBand="0" w:firstRowFirstColumn="0" w:firstRowLastColumn="0" w:lastRowFirstColumn="0" w:lastRowLastColumn="0"/>
            <w:tcW w:w="1982" w:type="pct"/>
          </w:tcPr>
          <w:p w14:paraId="6D6A06B6" w14:textId="77777777" w:rsidR="00EF41EE" w:rsidRPr="002966B9" w:rsidRDefault="00EF41EE">
            <w:pPr>
              <w:rPr>
                <w:rFonts w:cstheme="minorHAnsi"/>
              </w:rPr>
            </w:pPr>
            <w:r>
              <w:rPr>
                <w:rFonts w:cstheme="minorHAnsi"/>
              </w:rPr>
              <w:t>Colorectal Surgeon</w:t>
            </w:r>
          </w:p>
        </w:tc>
        <w:tc>
          <w:tcPr>
            <w:tcW w:w="1566" w:type="pct"/>
          </w:tcPr>
          <w:p w14:paraId="17905BE5" w14:textId="77777777" w:rsidR="00EF41EE" w:rsidRPr="00630189" w:rsidRDefault="00EF41EE">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Kadlec Medical Center</w:t>
            </w:r>
          </w:p>
        </w:tc>
      </w:tr>
      <w:tr w:rsidR="00EF41EE" w:rsidRPr="00684DCD" w14:paraId="79AA60A8" w14:textId="77777777" w:rsidTr="5C0C04E1">
        <w:trPr>
          <w:trHeight w:val="233"/>
        </w:trPr>
        <w:tc>
          <w:tcPr>
            <w:cnfStyle w:val="001000000000" w:firstRow="0" w:lastRow="0" w:firstColumn="1" w:lastColumn="0" w:oddVBand="0" w:evenVBand="0" w:oddHBand="0" w:evenHBand="0" w:firstRowFirstColumn="0" w:firstRowLastColumn="0" w:lastRowFirstColumn="0" w:lastRowLastColumn="0"/>
            <w:tcW w:w="1452" w:type="pct"/>
          </w:tcPr>
          <w:p w14:paraId="71A672C5" w14:textId="77777777" w:rsidR="00EF41EE" w:rsidRDefault="00EF41EE">
            <w:pPr>
              <w:rPr>
                <w:rFonts w:cstheme="minorHAnsi"/>
              </w:rPr>
            </w:pPr>
            <w:r>
              <w:rPr>
                <w:rFonts w:cstheme="minorHAnsi"/>
              </w:rPr>
              <w:t>Thien Nguyen, MD</w:t>
            </w:r>
          </w:p>
        </w:tc>
        <w:tc>
          <w:tcPr>
            <w:cnfStyle w:val="000010000000" w:firstRow="0" w:lastRow="0" w:firstColumn="0" w:lastColumn="0" w:oddVBand="1" w:evenVBand="0" w:oddHBand="0" w:evenHBand="0" w:firstRowFirstColumn="0" w:firstRowLastColumn="0" w:lastRowFirstColumn="0" w:lastRowLastColumn="0"/>
            <w:tcW w:w="1982" w:type="pct"/>
          </w:tcPr>
          <w:p w14:paraId="198DD8FE" w14:textId="77777777" w:rsidR="00EF41EE" w:rsidRDefault="00EF41EE">
            <w:pPr>
              <w:rPr>
                <w:rFonts w:cstheme="minorHAnsi"/>
              </w:rPr>
            </w:pPr>
            <w:r>
              <w:rPr>
                <w:rFonts w:cstheme="minorHAnsi"/>
              </w:rPr>
              <w:t>OMC Surgery Section Chair, Director of OC Surgical Subspecialties</w:t>
            </w:r>
          </w:p>
        </w:tc>
        <w:tc>
          <w:tcPr>
            <w:tcW w:w="1566" w:type="pct"/>
          </w:tcPr>
          <w:p w14:paraId="71CA51A0" w14:textId="77777777" w:rsidR="00EF41EE" w:rsidRDefault="00EF41EE">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Overlake Medical Center</w:t>
            </w:r>
          </w:p>
        </w:tc>
      </w:tr>
      <w:tr w:rsidR="00EF41EE" w:rsidRPr="00684DCD" w14:paraId="1F79A0BC" w14:textId="77777777" w:rsidTr="5C0C04E1">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452" w:type="pct"/>
          </w:tcPr>
          <w:p w14:paraId="184AFEDA" w14:textId="77777777" w:rsidR="00EF41EE" w:rsidRPr="002966B9" w:rsidRDefault="00EF41EE">
            <w:pPr>
              <w:rPr>
                <w:rStyle w:val="markzct3fgndr"/>
                <w:rFonts w:eastAsia="Times New Roman" w:cs="Arial"/>
                <w:bCs w:val="0"/>
              </w:rPr>
            </w:pPr>
            <w:r>
              <w:rPr>
                <w:rStyle w:val="markzct3fgndr"/>
                <w:rFonts w:eastAsia="Times New Roman" w:cs="Arial"/>
              </w:rPr>
              <w:t>A</w:t>
            </w:r>
            <w:r>
              <w:rPr>
                <w:rStyle w:val="markzct3fgndr"/>
                <w:rFonts w:cs="Arial"/>
              </w:rPr>
              <w:t>ndrea Allen, RN, MHA</w:t>
            </w:r>
          </w:p>
        </w:tc>
        <w:tc>
          <w:tcPr>
            <w:cnfStyle w:val="000010000000" w:firstRow="0" w:lastRow="0" w:firstColumn="0" w:lastColumn="0" w:oddVBand="1" w:evenVBand="0" w:oddHBand="0" w:evenHBand="0" w:firstRowFirstColumn="0" w:firstRowLastColumn="0" w:lastRowFirstColumn="0" w:lastRowLastColumn="0"/>
            <w:tcW w:w="1982" w:type="pct"/>
          </w:tcPr>
          <w:p w14:paraId="101FA161" w14:textId="77777777" w:rsidR="00EF41EE" w:rsidRPr="00B30A12" w:rsidRDefault="00EF41EE">
            <w:pPr>
              <w:rPr>
                <w:rFonts w:eastAsia="Times New Roman" w:cs="Arial"/>
                <w:bCs/>
              </w:rPr>
            </w:pPr>
            <w:r>
              <w:rPr>
                <w:rFonts w:eastAsia="Times New Roman" w:cs="Arial"/>
                <w:bCs/>
              </w:rPr>
              <w:t>N</w:t>
            </w:r>
            <w:r>
              <w:rPr>
                <w:rFonts w:eastAsia="Times New Roman"/>
              </w:rPr>
              <w:t>urse Consultant, Program Manager, WA Apple Health, Fee For Service</w:t>
            </w:r>
          </w:p>
        </w:tc>
        <w:tc>
          <w:tcPr>
            <w:tcW w:w="1566" w:type="pct"/>
          </w:tcPr>
          <w:p w14:paraId="287EB1D9" w14:textId="77777777" w:rsidR="00EF41EE" w:rsidRPr="00630189" w:rsidRDefault="00EF41EE">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Washington HCA</w:t>
            </w:r>
          </w:p>
        </w:tc>
      </w:tr>
      <w:tr w:rsidR="00EF41EE" w:rsidRPr="00684DCD" w14:paraId="6BADCAA3" w14:textId="77777777" w:rsidTr="5C0C04E1">
        <w:trPr>
          <w:trHeight w:val="233"/>
        </w:trPr>
        <w:tc>
          <w:tcPr>
            <w:cnfStyle w:val="001000000000" w:firstRow="0" w:lastRow="0" w:firstColumn="1" w:lastColumn="0" w:oddVBand="0" w:evenVBand="0" w:oddHBand="0" w:evenHBand="0" w:firstRowFirstColumn="0" w:firstRowLastColumn="0" w:lastRowFirstColumn="0" w:lastRowLastColumn="0"/>
            <w:tcW w:w="1452" w:type="pct"/>
          </w:tcPr>
          <w:p w14:paraId="18180A0A" w14:textId="77777777" w:rsidR="00EF41EE" w:rsidRDefault="00EF41EE">
            <w:pPr>
              <w:rPr>
                <w:rStyle w:val="markzct3fgndr"/>
                <w:rFonts w:eastAsia="Times New Roman" w:cs="Arial"/>
                <w:bCs w:val="0"/>
              </w:rPr>
            </w:pPr>
            <w:r w:rsidRPr="00F57DC7">
              <w:rPr>
                <w:rFonts w:eastAsia="Times New Roman" w:cs="Arial"/>
              </w:rPr>
              <w:t>Irl Hirsch</w:t>
            </w:r>
            <w:r>
              <w:rPr>
                <w:rFonts w:eastAsia="Times New Roman" w:cs="Arial"/>
              </w:rPr>
              <w:t>, MD</w:t>
            </w:r>
          </w:p>
        </w:tc>
        <w:tc>
          <w:tcPr>
            <w:cnfStyle w:val="000010000000" w:firstRow="0" w:lastRow="0" w:firstColumn="0" w:lastColumn="0" w:oddVBand="1" w:evenVBand="0" w:oddHBand="0" w:evenHBand="0" w:firstRowFirstColumn="0" w:firstRowLastColumn="0" w:lastRowFirstColumn="0" w:lastRowLastColumn="0"/>
            <w:tcW w:w="1982" w:type="pct"/>
          </w:tcPr>
          <w:p w14:paraId="6D45EEE2" w14:textId="77777777" w:rsidR="00EF41EE" w:rsidRDefault="00EF41EE">
            <w:pPr>
              <w:rPr>
                <w:rFonts w:eastAsia="Times New Roman" w:cs="Arial"/>
                <w:bCs/>
              </w:rPr>
            </w:pPr>
            <w:r>
              <w:rPr>
                <w:rFonts w:eastAsia="Times New Roman" w:cs="Arial"/>
                <w:bCs/>
              </w:rPr>
              <w:t>Medical Director</w:t>
            </w:r>
          </w:p>
        </w:tc>
        <w:tc>
          <w:tcPr>
            <w:tcW w:w="1566" w:type="pct"/>
          </w:tcPr>
          <w:p w14:paraId="2EEA385B" w14:textId="77777777" w:rsidR="00EF41EE" w:rsidRDefault="00EF41EE">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UW Diabetes Institute</w:t>
            </w:r>
          </w:p>
          <w:p w14:paraId="6A80D665" w14:textId="77777777" w:rsidR="00EF41EE" w:rsidRDefault="00EF41EE">
            <w:pPr>
              <w:cnfStyle w:val="000000000000" w:firstRow="0" w:lastRow="0" w:firstColumn="0" w:lastColumn="0" w:oddVBand="0" w:evenVBand="0" w:oddHBand="0" w:evenHBand="0" w:firstRowFirstColumn="0" w:firstRowLastColumn="0" w:lastRowFirstColumn="0" w:lastRowLastColumn="0"/>
              <w:rPr>
                <w:rFonts w:cstheme="minorHAnsi"/>
              </w:rPr>
            </w:pPr>
          </w:p>
        </w:tc>
      </w:tr>
      <w:tr w:rsidR="00EF41EE" w:rsidRPr="00684DCD" w14:paraId="439199F4" w14:textId="77777777" w:rsidTr="5C0C04E1">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452" w:type="pct"/>
          </w:tcPr>
          <w:p w14:paraId="0543C947" w14:textId="77777777" w:rsidR="00EF41EE" w:rsidRPr="00F57DC7" w:rsidRDefault="00EF41EE">
            <w:pPr>
              <w:rPr>
                <w:rFonts w:eastAsia="Times New Roman" w:cs="Arial"/>
                <w:bCs w:val="0"/>
              </w:rPr>
            </w:pPr>
            <w:r>
              <w:rPr>
                <w:rFonts w:eastAsia="Times New Roman" w:cs="Arial"/>
              </w:rPr>
              <w:t>E. Patchen Dellinger, MD</w:t>
            </w:r>
          </w:p>
        </w:tc>
        <w:tc>
          <w:tcPr>
            <w:cnfStyle w:val="000010000000" w:firstRow="0" w:lastRow="0" w:firstColumn="0" w:lastColumn="0" w:oddVBand="1" w:evenVBand="0" w:oddHBand="0" w:evenHBand="0" w:firstRowFirstColumn="0" w:firstRowLastColumn="0" w:lastRowFirstColumn="0" w:lastRowLastColumn="0"/>
            <w:tcW w:w="1982" w:type="pct"/>
          </w:tcPr>
          <w:p w14:paraId="148D583A" w14:textId="77777777" w:rsidR="00EF41EE" w:rsidRDefault="00EF41EE">
            <w:pPr>
              <w:rPr>
                <w:rFonts w:eastAsia="Times New Roman" w:cs="Arial"/>
                <w:bCs/>
              </w:rPr>
            </w:pPr>
            <w:r>
              <w:rPr>
                <w:rFonts w:eastAsia="Times New Roman" w:cs="Arial"/>
                <w:bCs/>
              </w:rPr>
              <w:t>Professor Emeritus</w:t>
            </w:r>
          </w:p>
        </w:tc>
        <w:tc>
          <w:tcPr>
            <w:tcW w:w="1566" w:type="pct"/>
          </w:tcPr>
          <w:p w14:paraId="0D7E5BBA" w14:textId="77777777" w:rsidR="00EF41EE" w:rsidRDefault="00EF41EE">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University of Washington, Department of Surgery </w:t>
            </w:r>
          </w:p>
        </w:tc>
      </w:tr>
      <w:tr w:rsidR="00EF41EE" w:rsidRPr="00684DCD" w14:paraId="7E1192A4" w14:textId="77777777" w:rsidTr="5C0C04E1">
        <w:trPr>
          <w:trHeight w:val="233"/>
        </w:trPr>
        <w:tc>
          <w:tcPr>
            <w:cnfStyle w:val="001000000000" w:firstRow="0" w:lastRow="0" w:firstColumn="1" w:lastColumn="0" w:oddVBand="0" w:evenVBand="0" w:oddHBand="0" w:evenHBand="0" w:firstRowFirstColumn="0" w:firstRowLastColumn="0" w:lastRowFirstColumn="0" w:lastRowLastColumn="0"/>
            <w:tcW w:w="1452" w:type="pct"/>
          </w:tcPr>
          <w:p w14:paraId="43CC0600" w14:textId="77777777" w:rsidR="00EF41EE" w:rsidRDefault="00EF41EE">
            <w:pPr>
              <w:rPr>
                <w:rFonts w:eastAsia="Times New Roman" w:cs="Arial"/>
                <w:bCs w:val="0"/>
              </w:rPr>
            </w:pPr>
            <w:r>
              <w:rPr>
                <w:rFonts w:eastAsia="Times New Roman" w:cs="Arial"/>
              </w:rPr>
              <w:t>Ty Jones, MD, CPPS, CHPW, CAQSM</w:t>
            </w:r>
          </w:p>
        </w:tc>
        <w:tc>
          <w:tcPr>
            <w:cnfStyle w:val="000010000000" w:firstRow="0" w:lastRow="0" w:firstColumn="0" w:lastColumn="0" w:oddVBand="1" w:evenVBand="0" w:oddHBand="0" w:evenHBand="0" w:firstRowFirstColumn="0" w:firstRowLastColumn="0" w:lastRowFirstColumn="0" w:lastRowLastColumn="0"/>
            <w:tcW w:w="1982" w:type="pct"/>
          </w:tcPr>
          <w:p w14:paraId="050EF81C" w14:textId="77777777" w:rsidR="00EF41EE" w:rsidRDefault="00EF41EE">
            <w:pPr>
              <w:rPr>
                <w:rFonts w:eastAsia="Times New Roman" w:cs="Arial"/>
                <w:bCs/>
              </w:rPr>
            </w:pPr>
            <w:r>
              <w:rPr>
                <w:rFonts w:eastAsia="Times New Roman" w:cs="Arial"/>
                <w:bCs/>
              </w:rPr>
              <w:t>Medical Director, Patient Safety and Healthcare Quality Leader</w:t>
            </w:r>
          </w:p>
        </w:tc>
        <w:tc>
          <w:tcPr>
            <w:tcW w:w="1566" w:type="pct"/>
          </w:tcPr>
          <w:p w14:paraId="2A50EFF0" w14:textId="77777777" w:rsidR="00EF41EE" w:rsidRDefault="00EF41EE">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Regence</w:t>
            </w:r>
          </w:p>
        </w:tc>
      </w:tr>
      <w:tr w:rsidR="00EF41EE" w:rsidRPr="00684DCD" w14:paraId="2CE3C6AB" w14:textId="77777777" w:rsidTr="5C0C04E1">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452" w:type="pct"/>
          </w:tcPr>
          <w:p w14:paraId="03339039" w14:textId="77777777" w:rsidR="00EF41EE" w:rsidRDefault="00EF41EE">
            <w:pPr>
              <w:rPr>
                <w:rFonts w:eastAsia="Times New Roman" w:cs="Arial"/>
                <w:bCs w:val="0"/>
              </w:rPr>
            </w:pPr>
            <w:r>
              <w:rPr>
                <w:rFonts w:eastAsia="Times New Roman" w:cs="Arial"/>
              </w:rPr>
              <w:t>Robert Rush, MD</w:t>
            </w:r>
          </w:p>
        </w:tc>
        <w:tc>
          <w:tcPr>
            <w:cnfStyle w:val="000010000000" w:firstRow="0" w:lastRow="0" w:firstColumn="0" w:lastColumn="0" w:oddVBand="1" w:evenVBand="0" w:oddHBand="0" w:evenHBand="0" w:firstRowFirstColumn="0" w:firstRowLastColumn="0" w:lastRowFirstColumn="0" w:lastRowLastColumn="0"/>
            <w:tcW w:w="1982" w:type="pct"/>
          </w:tcPr>
          <w:p w14:paraId="6C308AE2" w14:textId="77777777" w:rsidR="00EF41EE" w:rsidRDefault="00EF41EE">
            <w:pPr>
              <w:rPr>
                <w:rFonts w:eastAsia="Times New Roman" w:cs="Arial"/>
                <w:bCs/>
              </w:rPr>
            </w:pPr>
            <w:r>
              <w:rPr>
                <w:rFonts w:eastAsia="Times New Roman" w:cs="Arial"/>
                <w:bCs/>
              </w:rPr>
              <w:t>Chief Medical Officer Surgical Services</w:t>
            </w:r>
          </w:p>
        </w:tc>
        <w:tc>
          <w:tcPr>
            <w:tcW w:w="1566" w:type="pct"/>
          </w:tcPr>
          <w:p w14:paraId="1D4CF871" w14:textId="77777777" w:rsidR="00EF41EE" w:rsidRDefault="00EF41EE">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PeaceHealth Saint Joseph</w:t>
            </w:r>
          </w:p>
        </w:tc>
      </w:tr>
      <w:tr w:rsidR="00EF41EE" w:rsidRPr="00684DCD" w14:paraId="547431B0" w14:textId="77777777" w:rsidTr="5C0C04E1">
        <w:trPr>
          <w:trHeight w:val="233"/>
        </w:trPr>
        <w:tc>
          <w:tcPr>
            <w:cnfStyle w:val="001000000000" w:firstRow="0" w:lastRow="0" w:firstColumn="1" w:lastColumn="0" w:oddVBand="0" w:evenVBand="0" w:oddHBand="0" w:evenHBand="0" w:firstRowFirstColumn="0" w:firstRowLastColumn="0" w:lastRowFirstColumn="0" w:lastRowLastColumn="0"/>
            <w:tcW w:w="1452" w:type="pct"/>
          </w:tcPr>
          <w:p w14:paraId="394949C4" w14:textId="77777777" w:rsidR="00EF41EE" w:rsidRDefault="00EF41EE">
            <w:pPr>
              <w:rPr>
                <w:rFonts w:eastAsia="Times New Roman" w:cs="Arial"/>
                <w:bCs w:val="0"/>
              </w:rPr>
            </w:pPr>
            <w:r>
              <w:rPr>
                <w:rFonts w:eastAsia="Times New Roman" w:cs="Arial"/>
              </w:rPr>
              <w:t>Joe Frankhouse, MD, FACS</w:t>
            </w:r>
          </w:p>
        </w:tc>
        <w:tc>
          <w:tcPr>
            <w:cnfStyle w:val="000010000000" w:firstRow="0" w:lastRow="0" w:firstColumn="0" w:lastColumn="0" w:oddVBand="1" w:evenVBand="0" w:oddHBand="0" w:evenHBand="0" w:firstRowFirstColumn="0" w:firstRowLastColumn="0" w:lastRowFirstColumn="0" w:lastRowLastColumn="0"/>
            <w:tcW w:w="1982" w:type="pct"/>
          </w:tcPr>
          <w:p w14:paraId="4B9FAE28" w14:textId="77777777" w:rsidR="00EF41EE" w:rsidRDefault="00EF41EE">
            <w:pPr>
              <w:rPr>
                <w:rFonts w:eastAsia="Times New Roman" w:cs="Arial"/>
                <w:bCs/>
              </w:rPr>
            </w:pPr>
            <w:r>
              <w:rPr>
                <w:rFonts w:eastAsia="Times New Roman" w:cs="Arial"/>
                <w:bCs/>
              </w:rPr>
              <w:t>Colorectal Surgeon</w:t>
            </w:r>
          </w:p>
        </w:tc>
        <w:tc>
          <w:tcPr>
            <w:tcW w:w="1566" w:type="pct"/>
          </w:tcPr>
          <w:p w14:paraId="47E91916" w14:textId="77777777" w:rsidR="00EF41EE" w:rsidRDefault="00EF41EE">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Legacy Health</w:t>
            </w:r>
          </w:p>
        </w:tc>
      </w:tr>
      <w:tr w:rsidR="00EF41EE" w:rsidRPr="00684DCD" w14:paraId="6B5D66B9" w14:textId="77777777" w:rsidTr="5C0C04E1">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452" w:type="pct"/>
          </w:tcPr>
          <w:p w14:paraId="08A31ED5" w14:textId="77777777" w:rsidR="00EF41EE" w:rsidRDefault="00EF41EE">
            <w:pPr>
              <w:rPr>
                <w:rFonts w:eastAsia="Times New Roman" w:cs="Arial"/>
                <w:bCs w:val="0"/>
              </w:rPr>
            </w:pPr>
            <w:r>
              <w:rPr>
                <w:rFonts w:eastAsia="Times New Roman" w:cs="Arial"/>
              </w:rPr>
              <w:t>Scott Helton, MD, FACS</w:t>
            </w:r>
          </w:p>
        </w:tc>
        <w:tc>
          <w:tcPr>
            <w:cnfStyle w:val="000010000000" w:firstRow="0" w:lastRow="0" w:firstColumn="0" w:lastColumn="0" w:oddVBand="1" w:evenVBand="0" w:oddHBand="0" w:evenHBand="0" w:firstRowFirstColumn="0" w:firstRowLastColumn="0" w:lastRowFirstColumn="0" w:lastRowLastColumn="0"/>
            <w:tcW w:w="1982" w:type="pct"/>
          </w:tcPr>
          <w:p w14:paraId="74E28873" w14:textId="77777777" w:rsidR="00EF41EE" w:rsidRDefault="00EF41EE">
            <w:pPr>
              <w:rPr>
                <w:rFonts w:eastAsia="Times New Roman" w:cs="Arial"/>
                <w:bCs/>
              </w:rPr>
            </w:pPr>
            <w:r>
              <w:rPr>
                <w:rFonts w:eastAsia="Times New Roman" w:cs="Arial"/>
                <w:bCs/>
              </w:rPr>
              <w:t>Director of Liver, Biliary, Pancreas Surgery Center of Excellence</w:t>
            </w:r>
          </w:p>
        </w:tc>
        <w:tc>
          <w:tcPr>
            <w:tcW w:w="1566" w:type="pct"/>
          </w:tcPr>
          <w:p w14:paraId="31999106" w14:textId="77777777" w:rsidR="00EF41EE" w:rsidRDefault="00EF41EE">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Virginia Mason Medical Center</w:t>
            </w:r>
          </w:p>
        </w:tc>
      </w:tr>
      <w:tr w:rsidR="00EF41EE" w:rsidRPr="00684DCD" w14:paraId="29605B70" w14:textId="77777777" w:rsidTr="5C0C04E1">
        <w:trPr>
          <w:trHeight w:val="233"/>
        </w:trPr>
        <w:tc>
          <w:tcPr>
            <w:cnfStyle w:val="001000000000" w:firstRow="0" w:lastRow="0" w:firstColumn="1" w:lastColumn="0" w:oddVBand="0" w:evenVBand="0" w:oddHBand="0" w:evenHBand="0" w:firstRowFirstColumn="0" w:firstRowLastColumn="0" w:lastRowFirstColumn="0" w:lastRowLastColumn="0"/>
            <w:tcW w:w="1452" w:type="pct"/>
          </w:tcPr>
          <w:p w14:paraId="793AB559" w14:textId="77777777" w:rsidR="00EF41EE" w:rsidRDefault="00EF41EE">
            <w:pPr>
              <w:rPr>
                <w:rFonts w:eastAsia="Times New Roman" w:cs="Arial"/>
                <w:bCs w:val="0"/>
              </w:rPr>
            </w:pPr>
            <w:r>
              <w:rPr>
                <w:rFonts w:eastAsia="Times New Roman" w:cs="Arial"/>
              </w:rPr>
              <w:t>Venu Nemani, MD</w:t>
            </w:r>
          </w:p>
        </w:tc>
        <w:tc>
          <w:tcPr>
            <w:cnfStyle w:val="000010000000" w:firstRow="0" w:lastRow="0" w:firstColumn="0" w:lastColumn="0" w:oddVBand="1" w:evenVBand="0" w:oddHBand="0" w:evenHBand="0" w:firstRowFirstColumn="0" w:firstRowLastColumn="0" w:lastRowFirstColumn="0" w:lastRowLastColumn="0"/>
            <w:tcW w:w="1982" w:type="pct"/>
          </w:tcPr>
          <w:p w14:paraId="5C4C1822" w14:textId="77777777" w:rsidR="00EF41EE" w:rsidRDefault="00EF41EE">
            <w:pPr>
              <w:rPr>
                <w:rFonts w:eastAsia="Times New Roman" w:cs="Arial"/>
                <w:bCs/>
              </w:rPr>
            </w:pPr>
            <w:r>
              <w:rPr>
                <w:rFonts w:eastAsia="Times New Roman" w:cs="Arial"/>
                <w:bCs/>
              </w:rPr>
              <w:t>Orthopedic Spine Surgeon</w:t>
            </w:r>
          </w:p>
        </w:tc>
        <w:tc>
          <w:tcPr>
            <w:tcW w:w="1566" w:type="pct"/>
          </w:tcPr>
          <w:p w14:paraId="6E46B37B" w14:textId="77777777" w:rsidR="00EF41EE" w:rsidRDefault="00EF41EE">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Virginia Mason Franciscan Health</w:t>
            </w:r>
          </w:p>
        </w:tc>
      </w:tr>
      <w:tr w:rsidR="00EF41EE" w:rsidRPr="00684DCD" w14:paraId="103848EB" w14:textId="77777777" w:rsidTr="5C0C04E1">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452" w:type="pct"/>
          </w:tcPr>
          <w:p w14:paraId="70A0A4F0" w14:textId="77777777" w:rsidR="00EF41EE" w:rsidRDefault="00EF41EE">
            <w:pPr>
              <w:rPr>
                <w:rFonts w:eastAsia="Times New Roman" w:cs="Arial"/>
                <w:bCs w:val="0"/>
              </w:rPr>
            </w:pPr>
            <w:r>
              <w:rPr>
                <w:rFonts w:eastAsia="Times New Roman" w:cs="Arial"/>
              </w:rPr>
              <w:t>Michael Bota, MD</w:t>
            </w:r>
          </w:p>
        </w:tc>
        <w:tc>
          <w:tcPr>
            <w:cnfStyle w:val="000010000000" w:firstRow="0" w:lastRow="0" w:firstColumn="0" w:lastColumn="0" w:oddVBand="1" w:evenVBand="0" w:oddHBand="0" w:evenHBand="0" w:firstRowFirstColumn="0" w:firstRowLastColumn="0" w:lastRowFirstColumn="0" w:lastRowLastColumn="0"/>
            <w:tcW w:w="1982" w:type="pct"/>
          </w:tcPr>
          <w:p w14:paraId="5DE46F71" w14:textId="77777777" w:rsidR="00EF41EE" w:rsidRDefault="00EF41EE">
            <w:pPr>
              <w:rPr>
                <w:rFonts w:eastAsia="Times New Roman" w:cs="Arial"/>
                <w:bCs/>
              </w:rPr>
            </w:pPr>
            <w:r>
              <w:rPr>
                <w:rFonts w:eastAsia="Times New Roman" w:cs="Arial"/>
                <w:bCs/>
              </w:rPr>
              <w:t>Medical Director Population Health Clinical Value</w:t>
            </w:r>
          </w:p>
        </w:tc>
        <w:tc>
          <w:tcPr>
            <w:tcW w:w="1566" w:type="pct"/>
          </w:tcPr>
          <w:p w14:paraId="1F941D64" w14:textId="77777777" w:rsidR="00EF41EE" w:rsidRDefault="00EF41EE">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MultiCare Connected Care</w:t>
            </w:r>
          </w:p>
        </w:tc>
      </w:tr>
      <w:tr w:rsidR="00EF41EE" w:rsidRPr="00684DCD" w14:paraId="5EEA7136" w14:textId="77777777" w:rsidTr="5C0C04E1">
        <w:trPr>
          <w:trHeight w:val="233"/>
        </w:trPr>
        <w:tc>
          <w:tcPr>
            <w:cnfStyle w:val="001000000000" w:firstRow="0" w:lastRow="0" w:firstColumn="1" w:lastColumn="0" w:oddVBand="0" w:evenVBand="0" w:oddHBand="0" w:evenHBand="0" w:firstRowFirstColumn="0" w:firstRowLastColumn="0" w:lastRowFirstColumn="0" w:lastRowLastColumn="0"/>
            <w:tcW w:w="1452" w:type="pct"/>
          </w:tcPr>
          <w:p w14:paraId="5A520CB4" w14:textId="77777777" w:rsidR="00EF41EE" w:rsidRDefault="00EF41EE">
            <w:pPr>
              <w:rPr>
                <w:rFonts w:eastAsia="Times New Roman" w:cs="Arial"/>
                <w:bCs w:val="0"/>
              </w:rPr>
            </w:pPr>
            <w:r>
              <w:rPr>
                <w:rFonts w:eastAsia="Times New Roman" w:cs="Arial"/>
              </w:rPr>
              <w:t>Janice Tufte</w:t>
            </w:r>
          </w:p>
        </w:tc>
        <w:tc>
          <w:tcPr>
            <w:cnfStyle w:val="000010000000" w:firstRow="0" w:lastRow="0" w:firstColumn="0" w:lastColumn="0" w:oddVBand="1" w:evenVBand="0" w:oddHBand="0" w:evenHBand="0" w:firstRowFirstColumn="0" w:firstRowLastColumn="0" w:lastRowFirstColumn="0" w:lastRowLastColumn="0"/>
            <w:tcW w:w="1982" w:type="pct"/>
          </w:tcPr>
          <w:p w14:paraId="18BE2B1C" w14:textId="77777777" w:rsidR="00EF41EE" w:rsidRDefault="00EF41EE">
            <w:pPr>
              <w:rPr>
                <w:rFonts w:eastAsia="Times New Roman" w:cs="Arial"/>
                <w:bCs/>
              </w:rPr>
            </w:pPr>
            <w:r>
              <w:rPr>
                <w:rFonts w:eastAsia="Times New Roman" w:cs="Arial"/>
                <w:bCs/>
              </w:rPr>
              <w:t>Patient Partner</w:t>
            </w:r>
          </w:p>
        </w:tc>
        <w:tc>
          <w:tcPr>
            <w:tcW w:w="1566" w:type="pct"/>
          </w:tcPr>
          <w:p w14:paraId="5288A338" w14:textId="77777777" w:rsidR="00EF41EE" w:rsidRDefault="00EF41EE">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Muslim Resource Center</w:t>
            </w:r>
          </w:p>
        </w:tc>
      </w:tr>
      <w:tr w:rsidR="00EF41EE" w:rsidRPr="00684DCD" w14:paraId="38F74C96" w14:textId="77777777" w:rsidTr="5C0C04E1">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452" w:type="pct"/>
          </w:tcPr>
          <w:p w14:paraId="63060499" w14:textId="77777777" w:rsidR="00EF41EE" w:rsidRDefault="00EF41EE">
            <w:pPr>
              <w:rPr>
                <w:rFonts w:eastAsia="Times New Roman" w:cs="Arial"/>
                <w:bCs w:val="0"/>
              </w:rPr>
            </w:pPr>
            <w:r>
              <w:rPr>
                <w:rFonts w:eastAsia="Times New Roman" w:cs="Arial"/>
              </w:rPr>
              <w:t>Sharon Eloranta, MD</w:t>
            </w:r>
          </w:p>
        </w:tc>
        <w:tc>
          <w:tcPr>
            <w:cnfStyle w:val="000010000000" w:firstRow="0" w:lastRow="0" w:firstColumn="0" w:lastColumn="0" w:oddVBand="1" w:evenVBand="0" w:oddHBand="0" w:evenHBand="0" w:firstRowFirstColumn="0" w:firstRowLastColumn="0" w:lastRowFirstColumn="0" w:lastRowLastColumn="0"/>
            <w:tcW w:w="1982" w:type="pct"/>
          </w:tcPr>
          <w:p w14:paraId="78EB5591" w14:textId="77777777" w:rsidR="00EF41EE" w:rsidRDefault="00EF41EE">
            <w:pPr>
              <w:rPr>
                <w:rFonts w:eastAsia="Times New Roman" w:cs="Arial"/>
                <w:bCs/>
              </w:rPr>
            </w:pPr>
            <w:r>
              <w:rPr>
                <w:rFonts w:eastAsia="Times New Roman" w:cs="Arial"/>
                <w:bCs/>
              </w:rPr>
              <w:t>Medical Director</w:t>
            </w:r>
          </w:p>
        </w:tc>
        <w:tc>
          <w:tcPr>
            <w:tcW w:w="1566" w:type="pct"/>
          </w:tcPr>
          <w:p w14:paraId="773EA2C5" w14:textId="77777777" w:rsidR="00EF41EE" w:rsidRDefault="00EF41EE">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Washington Health Alliance (WHA)</w:t>
            </w:r>
          </w:p>
        </w:tc>
      </w:tr>
      <w:tr w:rsidR="00EF41EE" w:rsidRPr="00684DCD" w14:paraId="5F66CA45" w14:textId="77777777" w:rsidTr="5C0C04E1">
        <w:trPr>
          <w:trHeight w:val="233"/>
        </w:trPr>
        <w:tc>
          <w:tcPr>
            <w:cnfStyle w:val="001000000000" w:firstRow="0" w:lastRow="0" w:firstColumn="1" w:lastColumn="0" w:oddVBand="0" w:evenVBand="0" w:oddHBand="0" w:evenHBand="0" w:firstRowFirstColumn="0" w:firstRowLastColumn="0" w:lastRowFirstColumn="0" w:lastRowLastColumn="0"/>
            <w:tcW w:w="1452" w:type="pct"/>
          </w:tcPr>
          <w:p w14:paraId="0241FB6D" w14:textId="77777777" w:rsidR="00EF41EE" w:rsidRDefault="00EF41EE">
            <w:pPr>
              <w:rPr>
                <w:rFonts w:eastAsia="Times New Roman" w:cs="Arial"/>
                <w:bCs w:val="0"/>
              </w:rPr>
            </w:pPr>
            <w:r>
              <w:rPr>
                <w:rFonts w:eastAsia="Times New Roman" w:cs="Arial"/>
              </w:rPr>
              <w:lastRenderedPageBreak/>
              <w:t>Edie Shen, MD</w:t>
            </w:r>
          </w:p>
        </w:tc>
        <w:tc>
          <w:tcPr>
            <w:cnfStyle w:val="000010000000" w:firstRow="0" w:lastRow="0" w:firstColumn="0" w:lastColumn="0" w:oddVBand="1" w:evenVBand="0" w:oddHBand="0" w:evenHBand="0" w:firstRowFirstColumn="0" w:firstRowLastColumn="0" w:lastRowFirstColumn="0" w:lastRowLastColumn="0"/>
            <w:tcW w:w="1982" w:type="pct"/>
          </w:tcPr>
          <w:p w14:paraId="38572B69" w14:textId="77777777" w:rsidR="00EF41EE" w:rsidRDefault="00EF41EE">
            <w:pPr>
              <w:rPr>
                <w:rFonts w:eastAsia="Times New Roman" w:cs="Arial"/>
                <w:bCs/>
              </w:rPr>
            </w:pPr>
            <w:r>
              <w:rPr>
                <w:rFonts w:eastAsia="Times New Roman" w:cs="Arial"/>
                <w:bCs/>
              </w:rPr>
              <w:t>Perioperative Internist</w:t>
            </w:r>
          </w:p>
        </w:tc>
        <w:tc>
          <w:tcPr>
            <w:tcW w:w="1566" w:type="pct"/>
          </w:tcPr>
          <w:p w14:paraId="03293870" w14:textId="77777777" w:rsidR="00EF41EE" w:rsidRDefault="00EF41EE">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Harborview Medical Center</w:t>
            </w:r>
          </w:p>
        </w:tc>
      </w:tr>
    </w:tbl>
    <w:p w14:paraId="01E80069" w14:textId="77777777" w:rsidR="00650C74" w:rsidRDefault="00650C74" w:rsidP="00650C74">
      <w:pPr>
        <w:pStyle w:val="Heading2"/>
      </w:pPr>
      <w:r>
        <w:br w:type="page"/>
      </w:r>
      <w:bookmarkStart w:id="86" w:name="_Toc212542307"/>
      <w:r>
        <w:lastRenderedPageBreak/>
        <w:t>Appendix C. Guidelines and Systematic Reviews</w:t>
      </w:r>
      <w:bookmarkEnd w:id="86"/>
    </w:p>
    <w:tbl>
      <w:tblPr>
        <w:tblStyle w:val="ListTable4-Accent4"/>
        <w:tblW w:w="0" w:type="auto"/>
        <w:tblLook w:val="04A0" w:firstRow="1" w:lastRow="0" w:firstColumn="1" w:lastColumn="0" w:noHBand="0" w:noVBand="1"/>
      </w:tblPr>
      <w:tblGrid>
        <w:gridCol w:w="2515"/>
        <w:gridCol w:w="6835"/>
      </w:tblGrid>
      <w:tr w:rsidR="000C2D0A" w:rsidRPr="00D918DB" w14:paraId="0D5C9363" w14:textId="77777777" w:rsidTr="002F03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6A456FD0" w14:textId="77777777" w:rsidR="000C2D0A" w:rsidRPr="00D918DB" w:rsidRDefault="000C2D0A">
            <w:pPr>
              <w:rPr>
                <w:b w:val="0"/>
                <w:bCs w:val="0"/>
              </w:rPr>
            </w:pPr>
            <w:r w:rsidRPr="00D918DB">
              <w:t>Source</w:t>
            </w:r>
          </w:p>
        </w:tc>
        <w:tc>
          <w:tcPr>
            <w:tcW w:w="6835" w:type="dxa"/>
          </w:tcPr>
          <w:p w14:paraId="04DF80CB" w14:textId="77777777" w:rsidR="000C2D0A" w:rsidRPr="00D918DB" w:rsidRDefault="000C2D0A">
            <w:pPr>
              <w:cnfStyle w:val="100000000000" w:firstRow="1" w:lastRow="0" w:firstColumn="0" w:lastColumn="0" w:oddVBand="0" w:evenVBand="0" w:oddHBand="0" w:evenHBand="0" w:firstRowFirstColumn="0" w:firstRowLastColumn="0" w:lastRowFirstColumn="0" w:lastRowLastColumn="0"/>
              <w:rPr>
                <w:b w:val="0"/>
                <w:bCs w:val="0"/>
              </w:rPr>
            </w:pPr>
            <w:r w:rsidRPr="00D918DB">
              <w:t>Guidelines</w:t>
            </w:r>
          </w:p>
        </w:tc>
      </w:tr>
      <w:tr w:rsidR="000C2D0A" w14:paraId="54425FAD" w14:textId="77777777" w:rsidTr="002F0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338EF3D0" w14:textId="77777777" w:rsidR="000C2D0A" w:rsidRDefault="000C2D0A">
            <w:r>
              <w:t>AHRQ</w:t>
            </w:r>
          </w:p>
        </w:tc>
        <w:tc>
          <w:tcPr>
            <w:tcW w:w="6835" w:type="dxa"/>
          </w:tcPr>
          <w:p w14:paraId="0E2C4AE8" w14:textId="77777777" w:rsidR="000C2D0A" w:rsidRDefault="000C2D0A">
            <w:pPr>
              <w:cnfStyle w:val="000000100000" w:firstRow="0" w:lastRow="0" w:firstColumn="0" w:lastColumn="0" w:oddVBand="0" w:evenVBand="0" w:oddHBand="1" w:evenHBand="0" w:firstRowFirstColumn="0" w:firstRowLastColumn="0" w:lastRowFirstColumn="0" w:lastRowLastColumn="0"/>
            </w:pPr>
            <w:r>
              <w:t>N/A</w:t>
            </w:r>
          </w:p>
        </w:tc>
      </w:tr>
      <w:tr w:rsidR="000C2D0A" w14:paraId="0CE43B5B" w14:textId="77777777" w:rsidTr="002F03E6">
        <w:tc>
          <w:tcPr>
            <w:cnfStyle w:val="001000000000" w:firstRow="0" w:lastRow="0" w:firstColumn="1" w:lastColumn="0" w:oddVBand="0" w:evenVBand="0" w:oddHBand="0" w:evenHBand="0" w:firstRowFirstColumn="0" w:firstRowLastColumn="0" w:lastRowFirstColumn="0" w:lastRowLastColumn="0"/>
            <w:tcW w:w="2515" w:type="dxa"/>
          </w:tcPr>
          <w:p w14:paraId="115D4EEF" w14:textId="77777777" w:rsidR="000C2D0A" w:rsidRDefault="000C2D0A">
            <w:r>
              <w:t>Cochrane Collection</w:t>
            </w:r>
          </w:p>
        </w:tc>
        <w:tc>
          <w:tcPr>
            <w:tcW w:w="6835" w:type="dxa"/>
          </w:tcPr>
          <w:p w14:paraId="43A9ED8E" w14:textId="77777777" w:rsidR="000C2D0A" w:rsidRDefault="000C2D0A">
            <w:pPr>
              <w:cnfStyle w:val="000000000000" w:firstRow="0" w:lastRow="0" w:firstColumn="0" w:lastColumn="0" w:oddVBand="0" w:evenVBand="0" w:oddHBand="0" w:evenHBand="0" w:firstRowFirstColumn="0" w:firstRowLastColumn="0" w:lastRowFirstColumn="0" w:lastRowLastColumn="0"/>
            </w:pPr>
            <w:hyperlink r:id="rId25" w:history="1">
              <w:r w:rsidRPr="000D5B74">
                <w:rPr>
                  <w:rStyle w:val="Hyperlink"/>
                </w:rPr>
                <w:t>Perioperative glycemic control for people with diabetes undergoing surgery</w:t>
              </w:r>
            </w:hyperlink>
            <w:r>
              <w:t xml:space="preserve"> (2023)</w:t>
            </w:r>
          </w:p>
          <w:p w14:paraId="690B4C68" w14:textId="77777777" w:rsidR="000C2D0A" w:rsidRDefault="000C2D0A">
            <w:pPr>
              <w:cnfStyle w:val="000000000000" w:firstRow="0" w:lastRow="0" w:firstColumn="0" w:lastColumn="0" w:oddVBand="0" w:evenVBand="0" w:oddHBand="0" w:evenHBand="0" w:firstRowFirstColumn="0" w:firstRowLastColumn="0" w:lastRowFirstColumn="0" w:lastRowLastColumn="0"/>
            </w:pPr>
            <w:hyperlink r:id="rId26" w:history="1">
              <w:r w:rsidRPr="000D5B74">
                <w:rPr>
                  <w:rStyle w:val="Hyperlink"/>
                </w:rPr>
                <w:t>Adverse sides effects of dexamethasone in surgical patients</w:t>
              </w:r>
            </w:hyperlink>
            <w:r>
              <w:t xml:space="preserve"> (2018)</w:t>
            </w:r>
          </w:p>
          <w:p w14:paraId="717F1A3B" w14:textId="77777777" w:rsidR="000C2D0A" w:rsidRDefault="000C2D0A">
            <w:pPr>
              <w:cnfStyle w:val="000000000000" w:firstRow="0" w:lastRow="0" w:firstColumn="0" w:lastColumn="0" w:oddVBand="0" w:evenVBand="0" w:oddHBand="0" w:evenHBand="0" w:firstRowFirstColumn="0" w:firstRowLastColumn="0" w:lastRowFirstColumn="0" w:lastRowLastColumn="0"/>
            </w:pPr>
            <w:hyperlink r:id="rId27" w:history="1">
              <w:r w:rsidRPr="000D5B74">
                <w:rPr>
                  <w:rStyle w:val="Hyperlink"/>
                </w:rPr>
                <w:t>Iron therapy for preoperative anemia</w:t>
              </w:r>
            </w:hyperlink>
            <w:r>
              <w:t xml:space="preserve"> (2019)</w:t>
            </w:r>
          </w:p>
          <w:p w14:paraId="341E2B37" w14:textId="77777777" w:rsidR="000C2D0A" w:rsidRDefault="000C2D0A">
            <w:pPr>
              <w:cnfStyle w:val="000000000000" w:firstRow="0" w:lastRow="0" w:firstColumn="0" w:lastColumn="0" w:oddVBand="0" w:evenVBand="0" w:oddHBand="0" w:evenHBand="0" w:firstRowFirstColumn="0" w:firstRowLastColumn="0" w:lastRowFirstColumn="0" w:lastRowLastColumn="0"/>
            </w:pPr>
            <w:hyperlink r:id="rId28" w:history="1">
              <w:r w:rsidRPr="000D5B74">
                <w:rPr>
                  <w:rStyle w:val="Hyperlink"/>
                </w:rPr>
                <w:t xml:space="preserve">Erythropoietin plus iron versus control treatment including placebo or iron for preoperative </w:t>
              </w:r>
              <w:proofErr w:type="spellStart"/>
              <w:r w:rsidRPr="000D5B74">
                <w:rPr>
                  <w:rStyle w:val="Hyperlink"/>
                </w:rPr>
                <w:t>anaemic</w:t>
              </w:r>
              <w:proofErr w:type="spellEnd"/>
              <w:r w:rsidRPr="000D5B74">
                <w:rPr>
                  <w:rStyle w:val="Hyperlink"/>
                </w:rPr>
                <w:t xml:space="preserve"> adults undergoing non-cardiac surgery</w:t>
              </w:r>
            </w:hyperlink>
            <w:r>
              <w:t xml:space="preserve"> (2020)</w:t>
            </w:r>
          </w:p>
          <w:p w14:paraId="046CB879" w14:textId="77777777" w:rsidR="000C2D0A" w:rsidRDefault="000C2D0A">
            <w:pPr>
              <w:cnfStyle w:val="000000000000" w:firstRow="0" w:lastRow="0" w:firstColumn="0" w:lastColumn="0" w:oddVBand="0" w:evenVBand="0" w:oddHBand="0" w:evenHBand="0" w:firstRowFirstColumn="0" w:firstRowLastColumn="0" w:lastRowFirstColumn="0" w:lastRowLastColumn="0"/>
            </w:pPr>
            <w:hyperlink r:id="rId29" w:history="1">
              <w:r w:rsidRPr="000D5B74">
                <w:rPr>
                  <w:rStyle w:val="Hyperlink"/>
                </w:rPr>
                <w:t>Interventions for reducing red blood cell transfusion in adults undergoing hip fracture surgery: an overview of systematic reviews</w:t>
              </w:r>
            </w:hyperlink>
            <w:r>
              <w:t xml:space="preserve"> (2023)</w:t>
            </w:r>
          </w:p>
          <w:p w14:paraId="59EDA51D" w14:textId="77777777" w:rsidR="000C2D0A" w:rsidRDefault="000C2D0A">
            <w:pPr>
              <w:cnfStyle w:val="000000000000" w:firstRow="0" w:lastRow="0" w:firstColumn="0" w:lastColumn="0" w:oddVBand="0" w:evenVBand="0" w:oddHBand="0" w:evenHBand="0" w:firstRowFirstColumn="0" w:firstRowLastColumn="0" w:lastRowFirstColumn="0" w:lastRowLastColumn="0"/>
            </w:pPr>
            <w:hyperlink r:id="rId30" w:history="1">
              <w:r w:rsidRPr="000D5B74">
                <w:rPr>
                  <w:rStyle w:val="Hyperlink"/>
                </w:rPr>
                <w:t>Pre and peri-operative erythropoietin for reducing allogenic blood transfusions in colorectal cancer surgery</w:t>
              </w:r>
            </w:hyperlink>
            <w:r>
              <w:t xml:space="preserve"> (2009)</w:t>
            </w:r>
          </w:p>
        </w:tc>
      </w:tr>
      <w:tr w:rsidR="000C2D0A" w14:paraId="3329DBAD" w14:textId="77777777" w:rsidTr="002F0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2AC5C22A" w14:textId="77777777" w:rsidR="000C2D0A" w:rsidRDefault="000C2D0A">
            <w:r>
              <w:t xml:space="preserve">Specialty Society Guidelines </w:t>
            </w:r>
          </w:p>
        </w:tc>
        <w:tc>
          <w:tcPr>
            <w:tcW w:w="6835" w:type="dxa"/>
          </w:tcPr>
          <w:p w14:paraId="7FB69042" w14:textId="77777777" w:rsidR="000C2D0A" w:rsidRDefault="000C2D0A">
            <w:pPr>
              <w:cnfStyle w:val="000000100000" w:firstRow="0" w:lastRow="0" w:firstColumn="0" w:lastColumn="0" w:oddVBand="0" w:evenVBand="0" w:oddHBand="1" w:evenHBand="0" w:firstRowFirstColumn="0" w:firstRowLastColumn="0" w:lastRowFirstColumn="0" w:lastRowLastColumn="0"/>
            </w:pPr>
            <w:r>
              <w:t xml:space="preserve">American Society of Anesthesiologists: </w:t>
            </w:r>
            <w:hyperlink r:id="rId31" w:history="1">
              <w:r w:rsidRPr="00DE45E3">
                <w:rPr>
                  <w:rStyle w:val="Hyperlink"/>
                </w:rPr>
                <w:t>Practice Guidelines for Perioperative Blood Management</w:t>
              </w:r>
            </w:hyperlink>
            <w:r>
              <w:t xml:space="preserve"> (2015) </w:t>
            </w:r>
          </w:p>
          <w:p w14:paraId="19C92D5D" w14:textId="77777777" w:rsidR="000C2D0A" w:rsidRDefault="000C2D0A">
            <w:pPr>
              <w:cnfStyle w:val="000000100000" w:firstRow="0" w:lastRow="0" w:firstColumn="0" w:lastColumn="0" w:oddVBand="0" w:evenVBand="0" w:oddHBand="1" w:evenHBand="0" w:firstRowFirstColumn="0" w:firstRowLastColumn="0" w:lastRowFirstColumn="0" w:lastRowLastColumn="0"/>
            </w:pPr>
            <w:r>
              <w:t xml:space="preserve">Society of Thoracic Surgeons, American Society of </w:t>
            </w:r>
            <w:proofErr w:type="spellStart"/>
            <w:r>
              <w:t>ExtraCorporeal</w:t>
            </w:r>
            <w:proofErr w:type="spellEnd"/>
            <w:r>
              <w:t xml:space="preserve"> Technology: </w:t>
            </w:r>
            <w:hyperlink r:id="rId32" w:history="1">
              <w:r w:rsidRPr="00DE45E3">
                <w:rPr>
                  <w:rStyle w:val="Hyperlink"/>
                </w:rPr>
                <w:t>Update to the Clinical Practice Guidelines on Patient Blood Management</w:t>
              </w:r>
            </w:hyperlink>
            <w:r>
              <w:t xml:space="preserve"> (2021)</w:t>
            </w:r>
          </w:p>
          <w:p w14:paraId="55DE0627" w14:textId="77777777" w:rsidR="000C2D0A" w:rsidRDefault="000C2D0A">
            <w:pPr>
              <w:cnfStyle w:val="000000100000" w:firstRow="0" w:lastRow="0" w:firstColumn="0" w:lastColumn="0" w:oddVBand="0" w:evenVBand="0" w:oddHBand="1" w:evenHBand="0" w:firstRowFirstColumn="0" w:firstRowLastColumn="0" w:lastRowFirstColumn="0" w:lastRowLastColumn="0"/>
            </w:pPr>
            <w:hyperlink r:id="rId33" w:history="1">
              <w:r w:rsidRPr="00DE45E3">
                <w:rPr>
                  <w:rStyle w:val="Hyperlink"/>
                </w:rPr>
                <w:t>Recommendations from the International Consensus Conference on Anemia Management in Surgical Patients</w:t>
              </w:r>
            </w:hyperlink>
            <w:r>
              <w:t xml:space="preserve"> (ICCAMS) (2022)</w:t>
            </w:r>
          </w:p>
          <w:p w14:paraId="419ED6F1" w14:textId="77777777" w:rsidR="000C2D0A" w:rsidRDefault="000C2D0A">
            <w:pPr>
              <w:cnfStyle w:val="000000100000" w:firstRow="0" w:lastRow="0" w:firstColumn="0" w:lastColumn="0" w:oddVBand="0" w:evenVBand="0" w:oddHBand="1" w:evenHBand="0" w:firstRowFirstColumn="0" w:firstRowLastColumn="0" w:lastRowFirstColumn="0" w:lastRowLastColumn="0"/>
            </w:pPr>
            <w:hyperlink r:id="rId34" w:history="1">
              <w:r w:rsidRPr="00DE45E3">
                <w:rPr>
                  <w:rStyle w:val="Hyperlink"/>
                </w:rPr>
                <w:t xml:space="preserve">Centre for Perioperative Care: Guideline for the Management of </w:t>
              </w:r>
              <w:proofErr w:type="spellStart"/>
              <w:r w:rsidRPr="00DE45E3">
                <w:rPr>
                  <w:rStyle w:val="Hyperlink"/>
                </w:rPr>
                <w:t>Anaemia</w:t>
              </w:r>
              <w:proofErr w:type="spellEnd"/>
              <w:r w:rsidRPr="00DE45E3">
                <w:rPr>
                  <w:rStyle w:val="Hyperlink"/>
                </w:rPr>
                <w:t xml:space="preserve"> in the Perioperative Pathway</w:t>
              </w:r>
            </w:hyperlink>
            <w:r>
              <w:t xml:space="preserve"> (2022)</w:t>
            </w:r>
          </w:p>
          <w:p w14:paraId="05A8AE0D" w14:textId="77777777" w:rsidR="000C2D0A" w:rsidRDefault="000C2D0A">
            <w:pPr>
              <w:cnfStyle w:val="000000100000" w:firstRow="0" w:lastRow="0" w:firstColumn="0" w:lastColumn="0" w:oddVBand="0" w:evenVBand="0" w:oddHBand="1" w:evenHBand="0" w:firstRowFirstColumn="0" w:firstRowLastColumn="0" w:lastRowFirstColumn="0" w:lastRowLastColumn="0"/>
            </w:pPr>
            <w:r>
              <w:t xml:space="preserve">British Society for </w:t>
            </w:r>
            <w:proofErr w:type="spellStart"/>
            <w:r>
              <w:t>Haematology</w:t>
            </w:r>
            <w:proofErr w:type="spellEnd"/>
            <w:r>
              <w:t xml:space="preserve">: </w:t>
            </w:r>
            <w:hyperlink r:id="rId35" w:history="1">
              <w:r w:rsidRPr="00DE45E3">
                <w:rPr>
                  <w:rStyle w:val="Hyperlink"/>
                </w:rPr>
                <w:t xml:space="preserve">Identification and Management of </w:t>
              </w:r>
              <w:proofErr w:type="spellStart"/>
              <w:r w:rsidRPr="00DE45E3">
                <w:rPr>
                  <w:rStyle w:val="Hyperlink"/>
                </w:rPr>
                <w:t>Preoperatie</w:t>
              </w:r>
              <w:proofErr w:type="spellEnd"/>
              <w:r w:rsidRPr="00DE45E3">
                <w:rPr>
                  <w:rStyle w:val="Hyperlink"/>
                </w:rPr>
                <w:t xml:space="preserve"> </w:t>
              </w:r>
              <w:proofErr w:type="spellStart"/>
              <w:r w:rsidRPr="00DE45E3">
                <w:rPr>
                  <w:rStyle w:val="Hyperlink"/>
                </w:rPr>
                <w:t>Anaemia</w:t>
              </w:r>
              <w:proofErr w:type="spellEnd"/>
              <w:r w:rsidRPr="00DE45E3">
                <w:rPr>
                  <w:rStyle w:val="Hyperlink"/>
                </w:rPr>
                <w:t xml:space="preserve"> in Adults</w:t>
              </w:r>
            </w:hyperlink>
            <w:r>
              <w:t xml:space="preserve"> (2024)</w:t>
            </w:r>
          </w:p>
        </w:tc>
      </w:tr>
      <w:tr w:rsidR="000C2D0A" w14:paraId="7693B5C0" w14:textId="77777777" w:rsidTr="002F03E6">
        <w:tc>
          <w:tcPr>
            <w:cnfStyle w:val="001000000000" w:firstRow="0" w:lastRow="0" w:firstColumn="1" w:lastColumn="0" w:oddVBand="0" w:evenVBand="0" w:oddHBand="0" w:evenHBand="0" w:firstRowFirstColumn="0" w:firstRowLastColumn="0" w:lastRowFirstColumn="0" w:lastRowLastColumn="0"/>
            <w:tcW w:w="2515" w:type="dxa"/>
          </w:tcPr>
          <w:p w14:paraId="67DD431A" w14:textId="77777777" w:rsidR="000C2D0A" w:rsidRDefault="000C2D0A">
            <w:r>
              <w:t>Health Technology Assessment Program</w:t>
            </w:r>
          </w:p>
        </w:tc>
        <w:tc>
          <w:tcPr>
            <w:tcW w:w="6835" w:type="dxa"/>
          </w:tcPr>
          <w:p w14:paraId="2E6432AF" w14:textId="77777777" w:rsidR="000C2D0A" w:rsidRDefault="000C2D0A">
            <w:pPr>
              <w:cnfStyle w:val="000000000000" w:firstRow="0" w:lastRow="0" w:firstColumn="0" w:lastColumn="0" w:oddVBand="0" w:evenVBand="0" w:oddHBand="0" w:evenHBand="0" w:firstRowFirstColumn="0" w:firstRowLastColumn="0" w:lastRowFirstColumn="0" w:lastRowLastColumn="0"/>
            </w:pPr>
            <w:hyperlink r:id="rId36" w:history="1">
              <w:r w:rsidRPr="00DE45E3">
                <w:rPr>
                  <w:rStyle w:val="Hyperlink"/>
                </w:rPr>
                <w:t>Continuous glucose monitoring</w:t>
              </w:r>
            </w:hyperlink>
            <w:r>
              <w:t xml:space="preserve"> (2025)</w:t>
            </w:r>
          </w:p>
          <w:p w14:paraId="54F92F2D" w14:textId="77777777" w:rsidR="000C2D0A" w:rsidRDefault="000C2D0A">
            <w:pPr>
              <w:cnfStyle w:val="000000000000" w:firstRow="0" w:lastRow="0" w:firstColumn="0" w:lastColumn="0" w:oddVBand="0" w:evenVBand="0" w:oddHBand="0" w:evenHBand="0" w:firstRowFirstColumn="0" w:firstRowLastColumn="0" w:lastRowFirstColumn="0" w:lastRowLastColumn="0"/>
            </w:pPr>
          </w:p>
        </w:tc>
      </w:tr>
      <w:tr w:rsidR="000C2D0A" w14:paraId="2E682000" w14:textId="77777777" w:rsidTr="002F0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1BB06FE0" w14:textId="77777777" w:rsidR="000C2D0A" w:rsidRDefault="000C2D0A">
            <w:r>
              <w:t>Center for Disease Control</w:t>
            </w:r>
          </w:p>
        </w:tc>
        <w:tc>
          <w:tcPr>
            <w:tcW w:w="6835" w:type="dxa"/>
          </w:tcPr>
          <w:p w14:paraId="5AC0B838" w14:textId="77777777" w:rsidR="000C2D0A" w:rsidRDefault="000C2D0A">
            <w:pPr>
              <w:cnfStyle w:val="000000100000" w:firstRow="0" w:lastRow="0" w:firstColumn="0" w:lastColumn="0" w:oddVBand="0" w:evenVBand="0" w:oddHBand="1" w:evenHBand="0" w:firstRowFirstColumn="0" w:firstRowLastColumn="0" w:lastRowFirstColumn="0" w:lastRowLastColumn="0"/>
            </w:pPr>
            <w:r>
              <w:t>N/A</w:t>
            </w:r>
          </w:p>
        </w:tc>
      </w:tr>
      <w:tr w:rsidR="000C2D0A" w14:paraId="3C546D15" w14:textId="77777777" w:rsidTr="002F03E6">
        <w:tc>
          <w:tcPr>
            <w:cnfStyle w:val="001000000000" w:firstRow="0" w:lastRow="0" w:firstColumn="1" w:lastColumn="0" w:oddVBand="0" w:evenVBand="0" w:oddHBand="0" w:evenHBand="0" w:firstRowFirstColumn="0" w:firstRowLastColumn="0" w:lastRowFirstColumn="0" w:lastRowLastColumn="0"/>
            <w:tcW w:w="2515" w:type="dxa"/>
          </w:tcPr>
          <w:p w14:paraId="6BA069CD" w14:textId="77777777" w:rsidR="000C2D0A" w:rsidRDefault="000C2D0A">
            <w:r>
              <w:t>Institute for Clinical and Economic Review</w:t>
            </w:r>
          </w:p>
        </w:tc>
        <w:tc>
          <w:tcPr>
            <w:tcW w:w="6835" w:type="dxa"/>
          </w:tcPr>
          <w:p w14:paraId="0407DA75" w14:textId="77777777" w:rsidR="000C2D0A" w:rsidRDefault="000C2D0A">
            <w:pPr>
              <w:cnfStyle w:val="000000000000" w:firstRow="0" w:lastRow="0" w:firstColumn="0" w:lastColumn="0" w:oddVBand="0" w:evenVBand="0" w:oddHBand="0" w:evenHBand="0" w:firstRowFirstColumn="0" w:firstRowLastColumn="0" w:lastRowFirstColumn="0" w:lastRowLastColumn="0"/>
            </w:pPr>
            <w:r>
              <w:t>N/A</w:t>
            </w:r>
          </w:p>
        </w:tc>
      </w:tr>
      <w:tr w:rsidR="000C2D0A" w14:paraId="4ED7FD30" w14:textId="77777777" w:rsidTr="002F0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0DE98969" w14:textId="77777777" w:rsidR="000C2D0A" w:rsidRDefault="000C2D0A">
            <w:r>
              <w:t>BMJ Clinical Evidence Systematic Overview</w:t>
            </w:r>
          </w:p>
        </w:tc>
        <w:tc>
          <w:tcPr>
            <w:tcW w:w="6835" w:type="dxa"/>
          </w:tcPr>
          <w:p w14:paraId="53493F42" w14:textId="77777777" w:rsidR="000C2D0A" w:rsidRDefault="000C2D0A">
            <w:pPr>
              <w:cnfStyle w:val="000000100000" w:firstRow="0" w:lastRow="0" w:firstColumn="0" w:lastColumn="0" w:oddVBand="0" w:evenVBand="0" w:oddHBand="1" w:evenHBand="0" w:firstRowFirstColumn="0" w:firstRowLastColumn="0" w:lastRowFirstColumn="0" w:lastRowLastColumn="0"/>
            </w:pPr>
            <w:hyperlink r:id="rId37" w:history="1">
              <w:r w:rsidRPr="001A3683">
                <w:rPr>
                  <w:rStyle w:val="Hyperlink"/>
                </w:rPr>
                <w:t>Safety and efficacy of intravenous iron therapy in reducing requirement for allogenic blood transfusion: systematic review and meta-analysis of randomized clinical trials</w:t>
              </w:r>
            </w:hyperlink>
            <w:r>
              <w:t xml:space="preserve"> (2013)</w:t>
            </w:r>
          </w:p>
          <w:p w14:paraId="3C0CB712" w14:textId="77777777" w:rsidR="000C2D0A" w:rsidRDefault="000C2D0A">
            <w:pPr>
              <w:cnfStyle w:val="000000100000" w:firstRow="0" w:lastRow="0" w:firstColumn="0" w:lastColumn="0" w:oddVBand="0" w:evenVBand="0" w:oddHBand="1" w:evenHBand="0" w:firstRowFirstColumn="0" w:firstRowLastColumn="0" w:lastRowFirstColumn="0" w:lastRowLastColumn="0"/>
            </w:pPr>
            <w:hyperlink r:id="rId38" w:history="1">
              <w:r w:rsidRPr="001A3683">
                <w:rPr>
                  <w:rStyle w:val="Hyperlink"/>
                </w:rPr>
                <w:t>Effect of restrictive versus liberal transfusion strategies on outcomes in patients with cardiovascular disease in a non-cardiac surgery setting: systematic review and meta-analysis</w:t>
              </w:r>
            </w:hyperlink>
            <w:r>
              <w:t xml:space="preserve"> (2016)</w:t>
            </w:r>
          </w:p>
        </w:tc>
      </w:tr>
      <w:tr w:rsidR="000C2D0A" w14:paraId="06918CEC" w14:textId="77777777" w:rsidTr="002F03E6">
        <w:tc>
          <w:tcPr>
            <w:cnfStyle w:val="001000000000" w:firstRow="0" w:lastRow="0" w:firstColumn="1" w:lastColumn="0" w:oddVBand="0" w:evenVBand="0" w:oddHBand="0" w:evenHBand="0" w:firstRowFirstColumn="0" w:firstRowLastColumn="0" w:lastRowFirstColumn="0" w:lastRowLastColumn="0"/>
            <w:tcW w:w="2515" w:type="dxa"/>
          </w:tcPr>
          <w:p w14:paraId="4F18F77F" w14:textId="710EC0EC" w:rsidR="000C2D0A" w:rsidRDefault="000C2D0A">
            <w:r>
              <w:lastRenderedPageBreak/>
              <w:t>Veterans Administration</w:t>
            </w:r>
            <w:r w:rsidR="002F03E6">
              <w:t xml:space="preserve"> </w:t>
            </w:r>
            <w:r>
              <w:t>Evidence-based Synthesis Program</w:t>
            </w:r>
          </w:p>
        </w:tc>
        <w:tc>
          <w:tcPr>
            <w:tcW w:w="6835" w:type="dxa"/>
          </w:tcPr>
          <w:p w14:paraId="0BDBB3E8" w14:textId="77777777" w:rsidR="000C2D0A" w:rsidRDefault="000C2D0A">
            <w:pPr>
              <w:cnfStyle w:val="000000000000" w:firstRow="0" w:lastRow="0" w:firstColumn="0" w:lastColumn="0" w:oddVBand="0" w:evenVBand="0" w:oddHBand="0" w:evenHBand="0" w:firstRowFirstColumn="0" w:firstRowLastColumn="0" w:lastRowFirstColumn="0" w:lastRowLastColumn="0"/>
            </w:pPr>
            <w:hyperlink r:id="rId39" w:history="1">
              <w:r w:rsidRPr="001A3683">
                <w:rPr>
                  <w:rStyle w:val="Hyperlink"/>
                </w:rPr>
                <w:t>Enhanced recovery after surgery programs for patients undergoing colorectal surgery</w:t>
              </w:r>
            </w:hyperlink>
            <w:r>
              <w:t xml:space="preserve"> (2017)</w:t>
            </w:r>
          </w:p>
        </w:tc>
      </w:tr>
    </w:tbl>
    <w:p w14:paraId="41B0F9DF" w14:textId="58B7335E" w:rsidR="00650C74" w:rsidRPr="00650C74" w:rsidRDefault="00650C74" w:rsidP="00650C74">
      <w:pPr>
        <w:sectPr w:rsidR="00650C74" w:rsidRPr="00650C74">
          <w:pgSz w:w="12240" w:h="15840"/>
          <w:pgMar w:top="1440" w:right="1440" w:bottom="1440" w:left="1440" w:header="720" w:footer="720" w:gutter="0"/>
          <w:cols w:space="720"/>
          <w:titlePg/>
          <w:docGrid w:linePitch="360"/>
        </w:sectPr>
      </w:pPr>
    </w:p>
    <w:p w14:paraId="20CC340F" w14:textId="790841E6" w:rsidR="00331004" w:rsidRDefault="00331004" w:rsidP="00331004">
      <w:pPr>
        <w:pStyle w:val="Heading2"/>
      </w:pPr>
      <w:bookmarkStart w:id="87" w:name="_Appendix_C._Common"/>
      <w:bookmarkStart w:id="88" w:name="_Appendix_D._Common"/>
      <w:bookmarkStart w:id="89" w:name="_Toc206580473"/>
      <w:bookmarkStart w:id="90" w:name="_Toc212542308"/>
      <w:bookmarkEnd w:id="87"/>
      <w:bookmarkEnd w:id="88"/>
      <w:r>
        <w:lastRenderedPageBreak/>
        <w:t xml:space="preserve">Appendix </w:t>
      </w:r>
      <w:r w:rsidR="006A316B">
        <w:t>D</w:t>
      </w:r>
      <w:r>
        <w:t>. Common clinical conditions that affect hemoglobin A1c (Cleveland Clinic)</w:t>
      </w:r>
      <w:r w:rsidR="003663AA">
        <w:rPr>
          <w:rFonts w:ascii="ZWAdobeF" w:hAnsi="ZWAdobeF" w:cs="ZWAdobeF"/>
          <w:color w:val="auto"/>
          <w:sz w:val="2"/>
          <w:szCs w:val="2"/>
        </w:rPr>
        <w:t>43F</w:t>
      </w:r>
      <w:r>
        <w:rPr>
          <w:rStyle w:val="EndnoteReference"/>
        </w:rPr>
        <w:endnoteReference w:id="49"/>
      </w:r>
      <w:bookmarkEnd w:id="89"/>
      <w:bookmarkEnd w:id="90"/>
    </w:p>
    <w:tbl>
      <w:tblPr>
        <w:tblStyle w:val="ListTable4-Accent4"/>
        <w:tblW w:w="0" w:type="auto"/>
        <w:tblLook w:val="04A0" w:firstRow="1" w:lastRow="0" w:firstColumn="1" w:lastColumn="0" w:noHBand="0" w:noVBand="1"/>
      </w:tblPr>
      <w:tblGrid>
        <w:gridCol w:w="2317"/>
        <w:gridCol w:w="2774"/>
        <w:gridCol w:w="7859"/>
      </w:tblGrid>
      <w:tr w:rsidR="00331004" w:rsidRPr="00B2269C" w14:paraId="0F2E50BE" w14:textId="77777777" w:rsidTr="002F03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6" w:type="dxa"/>
          </w:tcPr>
          <w:p w14:paraId="54F5F858" w14:textId="77777777" w:rsidR="00331004" w:rsidRPr="00B2269C" w:rsidRDefault="00331004">
            <w:pPr>
              <w:rPr>
                <w:sz w:val="22"/>
                <w:szCs w:val="22"/>
              </w:rPr>
            </w:pPr>
            <w:r w:rsidRPr="00B2269C">
              <w:rPr>
                <w:sz w:val="22"/>
                <w:szCs w:val="22"/>
              </w:rPr>
              <w:t>Condition</w:t>
            </w:r>
          </w:p>
        </w:tc>
        <w:tc>
          <w:tcPr>
            <w:tcW w:w="2789" w:type="dxa"/>
          </w:tcPr>
          <w:p w14:paraId="7B451A16" w14:textId="77777777" w:rsidR="00331004" w:rsidRPr="00B2269C" w:rsidRDefault="00331004">
            <w:pPr>
              <w:cnfStyle w:val="100000000000" w:firstRow="1" w:lastRow="0" w:firstColumn="0" w:lastColumn="0" w:oddVBand="0" w:evenVBand="0" w:oddHBand="0" w:evenHBand="0" w:firstRowFirstColumn="0" w:firstRowLastColumn="0" w:lastRowFirstColumn="0" w:lastRowLastColumn="0"/>
              <w:rPr>
                <w:sz w:val="22"/>
                <w:szCs w:val="22"/>
              </w:rPr>
            </w:pPr>
            <w:r w:rsidRPr="00B2269C">
              <w:rPr>
                <w:sz w:val="22"/>
                <w:szCs w:val="22"/>
              </w:rPr>
              <w:t>Effect on HbA1c</w:t>
            </w:r>
          </w:p>
        </w:tc>
        <w:tc>
          <w:tcPr>
            <w:tcW w:w="7915" w:type="dxa"/>
          </w:tcPr>
          <w:p w14:paraId="2506C132" w14:textId="77777777" w:rsidR="00331004" w:rsidRPr="00B2269C" w:rsidRDefault="00331004">
            <w:pPr>
              <w:cnfStyle w:val="100000000000" w:firstRow="1" w:lastRow="0" w:firstColumn="0" w:lastColumn="0" w:oddVBand="0" w:evenVBand="0" w:oddHBand="0" w:evenHBand="0" w:firstRowFirstColumn="0" w:firstRowLastColumn="0" w:lastRowFirstColumn="0" w:lastRowLastColumn="0"/>
              <w:rPr>
                <w:sz w:val="22"/>
                <w:szCs w:val="22"/>
              </w:rPr>
            </w:pPr>
            <w:r w:rsidRPr="00B2269C">
              <w:rPr>
                <w:sz w:val="22"/>
                <w:szCs w:val="22"/>
              </w:rPr>
              <w:t>Mechanism or reason</w:t>
            </w:r>
          </w:p>
        </w:tc>
      </w:tr>
      <w:tr w:rsidR="00331004" w:rsidRPr="00B2269C" w14:paraId="66E0ECCA" w14:textId="77777777" w:rsidTr="002F0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6" w:type="dxa"/>
          </w:tcPr>
          <w:p w14:paraId="7EDC37A0" w14:textId="77777777" w:rsidR="00331004" w:rsidRPr="00B2269C" w:rsidRDefault="00331004">
            <w:pPr>
              <w:rPr>
                <w:sz w:val="22"/>
                <w:szCs w:val="22"/>
              </w:rPr>
            </w:pPr>
            <w:r w:rsidRPr="00B2269C">
              <w:rPr>
                <w:sz w:val="22"/>
                <w:szCs w:val="22"/>
              </w:rPr>
              <w:t>Asplenia</w:t>
            </w:r>
          </w:p>
        </w:tc>
        <w:tc>
          <w:tcPr>
            <w:tcW w:w="2789" w:type="dxa"/>
          </w:tcPr>
          <w:p w14:paraId="614EF494" w14:textId="77777777" w:rsidR="00331004" w:rsidRPr="00B2269C" w:rsidRDefault="00331004">
            <w:pPr>
              <w:cnfStyle w:val="000000100000" w:firstRow="0" w:lastRow="0" w:firstColumn="0" w:lastColumn="0" w:oddVBand="0" w:evenVBand="0" w:oddHBand="1" w:evenHBand="0" w:firstRowFirstColumn="0" w:firstRowLastColumn="0" w:lastRowFirstColumn="0" w:lastRowLastColumn="0"/>
              <w:rPr>
                <w:sz w:val="22"/>
                <w:szCs w:val="22"/>
              </w:rPr>
            </w:pPr>
            <w:r w:rsidRPr="00B2269C">
              <w:rPr>
                <w:sz w:val="22"/>
                <w:szCs w:val="22"/>
              </w:rPr>
              <w:t>Increase HbA1c</w:t>
            </w:r>
          </w:p>
        </w:tc>
        <w:tc>
          <w:tcPr>
            <w:tcW w:w="7915" w:type="dxa"/>
          </w:tcPr>
          <w:p w14:paraId="2D09AA8F" w14:textId="77777777" w:rsidR="00331004" w:rsidRPr="00B2269C" w:rsidRDefault="00331004">
            <w:pPr>
              <w:cnfStyle w:val="000000100000" w:firstRow="0" w:lastRow="0" w:firstColumn="0" w:lastColumn="0" w:oddVBand="0" w:evenVBand="0" w:oddHBand="1" w:evenHBand="0" w:firstRowFirstColumn="0" w:firstRowLastColumn="0" w:lastRowFirstColumn="0" w:lastRowLastColumn="0"/>
              <w:rPr>
                <w:sz w:val="22"/>
                <w:szCs w:val="22"/>
              </w:rPr>
            </w:pPr>
            <w:r w:rsidRPr="00B2269C">
              <w:rPr>
                <w:sz w:val="22"/>
                <w:szCs w:val="22"/>
              </w:rPr>
              <w:t>Decreased red blood cell (RBC) turnover due to increased RBC life span</w:t>
            </w:r>
          </w:p>
        </w:tc>
      </w:tr>
      <w:tr w:rsidR="00331004" w:rsidRPr="00B2269C" w14:paraId="0D54A133" w14:textId="77777777" w:rsidTr="002F03E6">
        <w:tc>
          <w:tcPr>
            <w:cnfStyle w:val="001000000000" w:firstRow="0" w:lastRow="0" w:firstColumn="1" w:lastColumn="0" w:oddVBand="0" w:evenVBand="0" w:oddHBand="0" w:evenHBand="0" w:firstRowFirstColumn="0" w:firstRowLastColumn="0" w:lastRowFirstColumn="0" w:lastRowLastColumn="0"/>
            <w:tcW w:w="2246" w:type="dxa"/>
          </w:tcPr>
          <w:p w14:paraId="5DE8EE1A" w14:textId="77777777" w:rsidR="00331004" w:rsidRPr="00B2269C" w:rsidRDefault="00331004">
            <w:pPr>
              <w:rPr>
                <w:sz w:val="22"/>
                <w:szCs w:val="22"/>
              </w:rPr>
            </w:pPr>
            <w:r w:rsidRPr="00B2269C">
              <w:rPr>
                <w:sz w:val="22"/>
                <w:szCs w:val="22"/>
              </w:rPr>
              <w:t>CKD</w:t>
            </w:r>
          </w:p>
        </w:tc>
        <w:tc>
          <w:tcPr>
            <w:tcW w:w="2789" w:type="dxa"/>
          </w:tcPr>
          <w:p w14:paraId="4C034ACA" w14:textId="77777777" w:rsidR="00331004" w:rsidRPr="00B2269C" w:rsidRDefault="00331004">
            <w:pPr>
              <w:cnfStyle w:val="000000000000" w:firstRow="0" w:lastRow="0" w:firstColumn="0" w:lastColumn="0" w:oddVBand="0" w:evenVBand="0" w:oddHBand="0" w:evenHBand="0" w:firstRowFirstColumn="0" w:firstRowLastColumn="0" w:lastRowFirstColumn="0" w:lastRowLastColumn="0"/>
              <w:rPr>
                <w:sz w:val="22"/>
                <w:szCs w:val="22"/>
              </w:rPr>
            </w:pPr>
            <w:r w:rsidRPr="00B2269C">
              <w:rPr>
                <w:sz w:val="22"/>
                <w:szCs w:val="22"/>
              </w:rPr>
              <w:t>Effects vary based on underlying disease and therapy</w:t>
            </w:r>
          </w:p>
        </w:tc>
        <w:tc>
          <w:tcPr>
            <w:tcW w:w="7915" w:type="dxa"/>
          </w:tcPr>
          <w:p w14:paraId="3558FE13" w14:textId="77777777" w:rsidR="00331004" w:rsidRPr="00B2269C" w:rsidRDefault="00331004">
            <w:pPr>
              <w:cnfStyle w:val="000000000000" w:firstRow="0" w:lastRow="0" w:firstColumn="0" w:lastColumn="0" w:oddVBand="0" w:evenVBand="0" w:oddHBand="0" w:evenHBand="0" w:firstRowFirstColumn="0" w:firstRowLastColumn="0" w:lastRowFirstColumn="0" w:lastRowLastColumn="0"/>
              <w:rPr>
                <w:sz w:val="22"/>
                <w:szCs w:val="22"/>
              </w:rPr>
            </w:pPr>
            <w:r w:rsidRPr="00B2269C">
              <w:rPr>
                <w:b/>
                <w:bCs/>
                <w:sz w:val="22"/>
                <w:szCs w:val="22"/>
              </w:rPr>
              <w:t>Increased hemoglobin A1c</w:t>
            </w:r>
            <w:r w:rsidRPr="00B2269C">
              <w:rPr>
                <w:sz w:val="22"/>
                <w:szCs w:val="22"/>
              </w:rPr>
              <w:t xml:space="preserve">: </w:t>
            </w:r>
            <w:proofErr w:type="spellStart"/>
            <w:r w:rsidRPr="00B2269C">
              <w:rPr>
                <w:sz w:val="22"/>
                <w:szCs w:val="22"/>
              </w:rPr>
              <w:t>Carbamyl</w:t>
            </w:r>
            <w:proofErr w:type="spellEnd"/>
            <w:r w:rsidRPr="00B2269C">
              <w:rPr>
                <w:sz w:val="22"/>
                <w:szCs w:val="22"/>
              </w:rPr>
              <w:t xml:space="preserve">-hemoglobin production in uremic </w:t>
            </w:r>
            <w:proofErr w:type="spellStart"/>
            <w:r w:rsidRPr="00B2269C">
              <w:rPr>
                <w:sz w:val="22"/>
                <w:szCs w:val="22"/>
              </w:rPr>
              <w:t>patientsl</w:t>
            </w:r>
            <w:proofErr w:type="spellEnd"/>
            <w:r w:rsidRPr="00B2269C">
              <w:rPr>
                <w:sz w:val="22"/>
                <w:szCs w:val="22"/>
              </w:rPr>
              <w:t xml:space="preserve">; Erythropoietin defi </w:t>
            </w:r>
            <w:proofErr w:type="spellStart"/>
            <w:r w:rsidRPr="00B2269C">
              <w:rPr>
                <w:sz w:val="22"/>
                <w:szCs w:val="22"/>
              </w:rPr>
              <w:t>ciency</w:t>
            </w:r>
            <w:proofErr w:type="spellEnd"/>
          </w:p>
          <w:p w14:paraId="3217FED0" w14:textId="77777777" w:rsidR="00331004" w:rsidRPr="00B2269C" w:rsidRDefault="00331004">
            <w:pPr>
              <w:cnfStyle w:val="000000000000" w:firstRow="0" w:lastRow="0" w:firstColumn="0" w:lastColumn="0" w:oddVBand="0" w:evenVBand="0" w:oddHBand="0" w:evenHBand="0" w:firstRowFirstColumn="0" w:firstRowLastColumn="0" w:lastRowFirstColumn="0" w:lastRowLastColumn="0"/>
              <w:rPr>
                <w:sz w:val="22"/>
                <w:szCs w:val="22"/>
              </w:rPr>
            </w:pPr>
          </w:p>
          <w:p w14:paraId="5D973838" w14:textId="77777777" w:rsidR="00331004" w:rsidRPr="00B2269C" w:rsidRDefault="00331004">
            <w:pPr>
              <w:cnfStyle w:val="000000000000" w:firstRow="0" w:lastRow="0" w:firstColumn="0" w:lastColumn="0" w:oddVBand="0" w:evenVBand="0" w:oddHBand="0" w:evenHBand="0" w:firstRowFirstColumn="0" w:firstRowLastColumn="0" w:lastRowFirstColumn="0" w:lastRowLastColumn="0"/>
              <w:rPr>
                <w:sz w:val="22"/>
                <w:szCs w:val="22"/>
              </w:rPr>
            </w:pPr>
            <w:r w:rsidRPr="00B2269C">
              <w:rPr>
                <w:b/>
                <w:bCs/>
                <w:sz w:val="22"/>
                <w:szCs w:val="22"/>
              </w:rPr>
              <w:t>Decreased hemoglobin A1c</w:t>
            </w:r>
            <w:r w:rsidRPr="00B2269C">
              <w:rPr>
                <w:sz w:val="22"/>
                <w:szCs w:val="22"/>
              </w:rPr>
              <w:t xml:space="preserve">: Shortened RBC survival; Erythropoietin administration ; Hemodialysis (lowering of urea levels reduces </w:t>
            </w:r>
            <w:proofErr w:type="spellStart"/>
            <w:r w:rsidRPr="00B2269C">
              <w:rPr>
                <w:sz w:val="22"/>
                <w:szCs w:val="22"/>
              </w:rPr>
              <w:t>carbamyl</w:t>
            </w:r>
            <w:proofErr w:type="spellEnd"/>
            <w:r w:rsidRPr="00B2269C">
              <w:rPr>
                <w:sz w:val="22"/>
                <w:szCs w:val="22"/>
              </w:rPr>
              <w:t>-hemoglobin concentration</w:t>
            </w:r>
          </w:p>
        </w:tc>
      </w:tr>
      <w:tr w:rsidR="00331004" w:rsidRPr="00B2269C" w14:paraId="0B19C4BA" w14:textId="77777777" w:rsidTr="002F0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6" w:type="dxa"/>
          </w:tcPr>
          <w:p w14:paraId="02B8E7BD" w14:textId="77777777" w:rsidR="00331004" w:rsidRPr="00B2269C" w:rsidRDefault="00331004">
            <w:pPr>
              <w:rPr>
                <w:sz w:val="22"/>
                <w:szCs w:val="22"/>
              </w:rPr>
            </w:pPr>
            <w:r w:rsidRPr="00B2269C">
              <w:rPr>
                <w:sz w:val="22"/>
                <w:szCs w:val="22"/>
              </w:rPr>
              <w:t>Chronic Liver Disease</w:t>
            </w:r>
          </w:p>
        </w:tc>
        <w:tc>
          <w:tcPr>
            <w:tcW w:w="2789" w:type="dxa"/>
          </w:tcPr>
          <w:p w14:paraId="0A9EF8B5" w14:textId="77777777" w:rsidR="00331004" w:rsidRPr="00B2269C" w:rsidRDefault="00331004">
            <w:pPr>
              <w:cnfStyle w:val="000000100000" w:firstRow="0" w:lastRow="0" w:firstColumn="0" w:lastColumn="0" w:oddVBand="0" w:evenVBand="0" w:oddHBand="1" w:evenHBand="0" w:firstRowFirstColumn="0" w:firstRowLastColumn="0" w:lastRowFirstColumn="0" w:lastRowLastColumn="0"/>
              <w:rPr>
                <w:sz w:val="22"/>
                <w:szCs w:val="22"/>
              </w:rPr>
            </w:pPr>
            <w:r w:rsidRPr="00B2269C">
              <w:rPr>
                <w:sz w:val="22"/>
                <w:szCs w:val="22"/>
              </w:rPr>
              <w:t>Effects vary based on severity of underlying disease and therapies</w:t>
            </w:r>
          </w:p>
        </w:tc>
        <w:tc>
          <w:tcPr>
            <w:tcW w:w="7915" w:type="dxa"/>
          </w:tcPr>
          <w:p w14:paraId="0FB7F055" w14:textId="77777777" w:rsidR="00331004" w:rsidRPr="00B2269C" w:rsidRDefault="00331004">
            <w:pPr>
              <w:cnfStyle w:val="000000100000" w:firstRow="0" w:lastRow="0" w:firstColumn="0" w:lastColumn="0" w:oddVBand="0" w:evenVBand="0" w:oddHBand="1" w:evenHBand="0" w:firstRowFirstColumn="0" w:firstRowLastColumn="0" w:lastRowFirstColumn="0" w:lastRowLastColumn="0"/>
              <w:rPr>
                <w:sz w:val="22"/>
                <w:szCs w:val="22"/>
              </w:rPr>
            </w:pPr>
            <w:r w:rsidRPr="00B2269C">
              <w:rPr>
                <w:b/>
                <w:bCs/>
                <w:sz w:val="22"/>
                <w:szCs w:val="22"/>
              </w:rPr>
              <w:t>Increased hemoglobin A1c</w:t>
            </w:r>
            <w:r w:rsidRPr="00B2269C">
              <w:rPr>
                <w:sz w:val="22"/>
                <w:szCs w:val="22"/>
              </w:rPr>
              <w:t>: Jaundice (increased glycation reaction in the presence of higher bilirubin concentrations)</w:t>
            </w:r>
          </w:p>
          <w:p w14:paraId="1E8B964F" w14:textId="77777777" w:rsidR="00331004" w:rsidRPr="00B2269C" w:rsidRDefault="00331004">
            <w:pPr>
              <w:cnfStyle w:val="000000100000" w:firstRow="0" w:lastRow="0" w:firstColumn="0" w:lastColumn="0" w:oddVBand="0" w:evenVBand="0" w:oddHBand="1" w:evenHBand="0" w:firstRowFirstColumn="0" w:firstRowLastColumn="0" w:lastRowFirstColumn="0" w:lastRowLastColumn="0"/>
              <w:rPr>
                <w:sz w:val="22"/>
                <w:szCs w:val="22"/>
              </w:rPr>
            </w:pPr>
          </w:p>
          <w:p w14:paraId="6C120A15" w14:textId="77777777" w:rsidR="00331004" w:rsidRPr="00B2269C" w:rsidRDefault="00331004">
            <w:pPr>
              <w:cnfStyle w:val="000000100000" w:firstRow="0" w:lastRow="0" w:firstColumn="0" w:lastColumn="0" w:oddVBand="0" w:evenVBand="0" w:oddHBand="1" w:evenHBand="0" w:firstRowFirstColumn="0" w:firstRowLastColumn="0" w:lastRowFirstColumn="0" w:lastRowLastColumn="0"/>
              <w:rPr>
                <w:sz w:val="22"/>
                <w:szCs w:val="22"/>
              </w:rPr>
            </w:pPr>
            <w:r w:rsidRPr="00B2269C">
              <w:rPr>
                <w:b/>
                <w:bCs/>
                <w:sz w:val="22"/>
                <w:szCs w:val="22"/>
              </w:rPr>
              <w:t>Decreased hemoglobin A1c</w:t>
            </w:r>
            <w:r w:rsidRPr="00B2269C">
              <w:rPr>
                <w:sz w:val="22"/>
                <w:szCs w:val="22"/>
              </w:rPr>
              <w:t>: Increased RBC turnover; Antiviral drug therapies may decrease RBC life span</w:t>
            </w:r>
          </w:p>
        </w:tc>
      </w:tr>
      <w:tr w:rsidR="00331004" w:rsidRPr="00B2269C" w14:paraId="1B8024B3" w14:textId="77777777" w:rsidTr="002F03E6">
        <w:tc>
          <w:tcPr>
            <w:cnfStyle w:val="001000000000" w:firstRow="0" w:lastRow="0" w:firstColumn="1" w:lastColumn="0" w:oddVBand="0" w:evenVBand="0" w:oddHBand="0" w:evenHBand="0" w:firstRowFirstColumn="0" w:firstRowLastColumn="0" w:lastRowFirstColumn="0" w:lastRowLastColumn="0"/>
            <w:tcW w:w="2246" w:type="dxa"/>
          </w:tcPr>
          <w:p w14:paraId="769CBD74" w14:textId="77777777" w:rsidR="00331004" w:rsidRPr="00B2269C" w:rsidRDefault="00331004">
            <w:pPr>
              <w:rPr>
                <w:sz w:val="22"/>
                <w:szCs w:val="22"/>
              </w:rPr>
            </w:pPr>
            <w:r w:rsidRPr="00B2269C">
              <w:rPr>
                <w:sz w:val="22"/>
                <w:szCs w:val="22"/>
              </w:rPr>
              <w:t>Hemoglobinopathies</w:t>
            </w:r>
          </w:p>
        </w:tc>
        <w:tc>
          <w:tcPr>
            <w:tcW w:w="2789" w:type="dxa"/>
          </w:tcPr>
          <w:p w14:paraId="761CF995" w14:textId="77777777" w:rsidR="00331004" w:rsidRPr="00B2269C" w:rsidRDefault="00331004">
            <w:pPr>
              <w:cnfStyle w:val="000000000000" w:firstRow="0" w:lastRow="0" w:firstColumn="0" w:lastColumn="0" w:oddVBand="0" w:evenVBand="0" w:oddHBand="0" w:evenHBand="0" w:firstRowFirstColumn="0" w:firstRowLastColumn="0" w:lastRowFirstColumn="0" w:lastRowLastColumn="0"/>
              <w:rPr>
                <w:sz w:val="22"/>
                <w:szCs w:val="22"/>
              </w:rPr>
            </w:pPr>
            <w:r w:rsidRPr="00B2269C">
              <w:rPr>
                <w:sz w:val="22"/>
                <w:szCs w:val="22"/>
              </w:rPr>
              <w:t>Varies with testing method and assay</w:t>
            </w:r>
          </w:p>
        </w:tc>
        <w:tc>
          <w:tcPr>
            <w:tcW w:w="7915" w:type="dxa"/>
          </w:tcPr>
          <w:p w14:paraId="509FBF71" w14:textId="77777777" w:rsidR="00331004" w:rsidRPr="00B2269C" w:rsidRDefault="00331004">
            <w:pPr>
              <w:cnfStyle w:val="000000000000" w:firstRow="0" w:lastRow="0" w:firstColumn="0" w:lastColumn="0" w:oddVBand="0" w:evenVBand="0" w:oddHBand="0" w:evenHBand="0" w:firstRowFirstColumn="0" w:firstRowLastColumn="0" w:lastRowFirstColumn="0" w:lastRowLastColumn="0"/>
              <w:rPr>
                <w:sz w:val="22"/>
                <w:szCs w:val="22"/>
              </w:rPr>
            </w:pPr>
            <w:r w:rsidRPr="00B2269C">
              <w:rPr>
                <w:sz w:val="22"/>
                <w:szCs w:val="22"/>
              </w:rPr>
              <w:t>Multifactorial including anemia and rapid RBC turnover</w:t>
            </w:r>
          </w:p>
        </w:tc>
      </w:tr>
      <w:tr w:rsidR="00331004" w:rsidRPr="00B2269C" w14:paraId="05DEF011" w14:textId="77777777" w:rsidTr="002F0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6" w:type="dxa"/>
          </w:tcPr>
          <w:p w14:paraId="1E0CA7EB" w14:textId="77777777" w:rsidR="00331004" w:rsidRPr="00B2269C" w:rsidRDefault="00331004">
            <w:pPr>
              <w:rPr>
                <w:sz w:val="22"/>
                <w:szCs w:val="22"/>
              </w:rPr>
            </w:pPr>
            <w:r w:rsidRPr="00B2269C">
              <w:rPr>
                <w:sz w:val="22"/>
                <w:szCs w:val="22"/>
              </w:rPr>
              <w:t>Hemolytic anemia</w:t>
            </w:r>
          </w:p>
        </w:tc>
        <w:tc>
          <w:tcPr>
            <w:tcW w:w="2789" w:type="dxa"/>
          </w:tcPr>
          <w:p w14:paraId="6692A162" w14:textId="77777777" w:rsidR="00331004" w:rsidRPr="00B2269C" w:rsidRDefault="00331004">
            <w:pPr>
              <w:cnfStyle w:val="000000100000" w:firstRow="0" w:lastRow="0" w:firstColumn="0" w:lastColumn="0" w:oddVBand="0" w:evenVBand="0" w:oddHBand="1" w:evenHBand="0" w:firstRowFirstColumn="0" w:firstRowLastColumn="0" w:lastRowFirstColumn="0" w:lastRowLastColumn="0"/>
              <w:rPr>
                <w:sz w:val="22"/>
                <w:szCs w:val="22"/>
              </w:rPr>
            </w:pPr>
            <w:r w:rsidRPr="00B2269C">
              <w:rPr>
                <w:sz w:val="22"/>
                <w:szCs w:val="22"/>
              </w:rPr>
              <w:t xml:space="preserve">Decreases HbA1c </w:t>
            </w:r>
          </w:p>
        </w:tc>
        <w:tc>
          <w:tcPr>
            <w:tcW w:w="7915" w:type="dxa"/>
          </w:tcPr>
          <w:p w14:paraId="22462397" w14:textId="77777777" w:rsidR="00331004" w:rsidRPr="00B2269C" w:rsidRDefault="00331004">
            <w:pPr>
              <w:cnfStyle w:val="000000100000" w:firstRow="0" w:lastRow="0" w:firstColumn="0" w:lastColumn="0" w:oddVBand="0" w:evenVBand="0" w:oddHBand="1" w:evenHBand="0" w:firstRowFirstColumn="0" w:firstRowLastColumn="0" w:lastRowFirstColumn="0" w:lastRowLastColumn="0"/>
              <w:rPr>
                <w:sz w:val="22"/>
                <w:szCs w:val="22"/>
              </w:rPr>
            </w:pPr>
            <w:r w:rsidRPr="00B2269C">
              <w:rPr>
                <w:sz w:val="22"/>
                <w:szCs w:val="22"/>
              </w:rPr>
              <w:t xml:space="preserve">Reduced RBC total volume </w:t>
            </w:r>
          </w:p>
          <w:p w14:paraId="77D01C69" w14:textId="77777777" w:rsidR="00331004" w:rsidRPr="00B2269C" w:rsidRDefault="00331004">
            <w:pPr>
              <w:cnfStyle w:val="000000100000" w:firstRow="0" w:lastRow="0" w:firstColumn="0" w:lastColumn="0" w:oddVBand="0" w:evenVBand="0" w:oddHBand="1" w:evenHBand="0" w:firstRowFirstColumn="0" w:firstRowLastColumn="0" w:lastRowFirstColumn="0" w:lastRowLastColumn="0"/>
              <w:rPr>
                <w:sz w:val="22"/>
                <w:szCs w:val="22"/>
              </w:rPr>
            </w:pPr>
            <w:r w:rsidRPr="00B2269C">
              <w:rPr>
                <w:sz w:val="22"/>
                <w:szCs w:val="22"/>
              </w:rPr>
              <w:t>Increased RBC destruction shortens RBC life span</w:t>
            </w:r>
          </w:p>
        </w:tc>
      </w:tr>
      <w:tr w:rsidR="00331004" w:rsidRPr="00B2269C" w14:paraId="3341E572" w14:textId="77777777" w:rsidTr="002F03E6">
        <w:tc>
          <w:tcPr>
            <w:cnfStyle w:val="001000000000" w:firstRow="0" w:lastRow="0" w:firstColumn="1" w:lastColumn="0" w:oddVBand="0" w:evenVBand="0" w:oddHBand="0" w:evenHBand="0" w:firstRowFirstColumn="0" w:firstRowLastColumn="0" w:lastRowFirstColumn="0" w:lastRowLastColumn="0"/>
            <w:tcW w:w="2246" w:type="dxa"/>
          </w:tcPr>
          <w:p w14:paraId="54AC82D5" w14:textId="77777777" w:rsidR="00331004" w:rsidRPr="00B2269C" w:rsidRDefault="00331004">
            <w:pPr>
              <w:rPr>
                <w:sz w:val="22"/>
                <w:szCs w:val="22"/>
              </w:rPr>
            </w:pPr>
            <w:r w:rsidRPr="00B2269C">
              <w:rPr>
                <w:sz w:val="22"/>
                <w:szCs w:val="22"/>
              </w:rPr>
              <w:t>Iron deficiency anemia</w:t>
            </w:r>
          </w:p>
        </w:tc>
        <w:tc>
          <w:tcPr>
            <w:tcW w:w="2789" w:type="dxa"/>
          </w:tcPr>
          <w:p w14:paraId="79240A3B" w14:textId="77777777" w:rsidR="00331004" w:rsidRPr="00B2269C" w:rsidRDefault="00331004">
            <w:pPr>
              <w:cnfStyle w:val="000000000000" w:firstRow="0" w:lastRow="0" w:firstColumn="0" w:lastColumn="0" w:oddVBand="0" w:evenVBand="0" w:oddHBand="0" w:evenHBand="0" w:firstRowFirstColumn="0" w:firstRowLastColumn="0" w:lastRowFirstColumn="0" w:lastRowLastColumn="0"/>
              <w:rPr>
                <w:sz w:val="22"/>
                <w:szCs w:val="22"/>
              </w:rPr>
            </w:pPr>
            <w:r w:rsidRPr="00B2269C">
              <w:rPr>
                <w:sz w:val="22"/>
                <w:szCs w:val="22"/>
              </w:rPr>
              <w:t xml:space="preserve">Increases HbA1c </w:t>
            </w:r>
          </w:p>
        </w:tc>
        <w:tc>
          <w:tcPr>
            <w:tcW w:w="7915" w:type="dxa"/>
          </w:tcPr>
          <w:p w14:paraId="76A96600" w14:textId="77777777" w:rsidR="00331004" w:rsidRPr="00B2269C" w:rsidRDefault="00331004">
            <w:pPr>
              <w:cnfStyle w:val="000000000000" w:firstRow="0" w:lastRow="0" w:firstColumn="0" w:lastColumn="0" w:oddVBand="0" w:evenVBand="0" w:oddHBand="0" w:evenHBand="0" w:firstRowFirstColumn="0" w:firstRowLastColumn="0" w:lastRowFirstColumn="0" w:lastRowLastColumn="0"/>
              <w:rPr>
                <w:sz w:val="22"/>
                <w:szCs w:val="22"/>
              </w:rPr>
            </w:pPr>
            <w:r w:rsidRPr="00B2269C">
              <w:rPr>
                <w:sz w:val="22"/>
                <w:szCs w:val="22"/>
              </w:rPr>
              <w:t>Reduced RBC turnover prolongs RBC survival</w:t>
            </w:r>
          </w:p>
          <w:p w14:paraId="5BBB15D8" w14:textId="77777777" w:rsidR="00331004" w:rsidRPr="00B2269C" w:rsidRDefault="00331004">
            <w:pPr>
              <w:cnfStyle w:val="000000000000" w:firstRow="0" w:lastRow="0" w:firstColumn="0" w:lastColumn="0" w:oddVBand="0" w:evenVBand="0" w:oddHBand="0" w:evenHBand="0" w:firstRowFirstColumn="0" w:firstRowLastColumn="0" w:lastRowFirstColumn="0" w:lastRowLastColumn="0"/>
              <w:rPr>
                <w:sz w:val="22"/>
                <w:szCs w:val="22"/>
              </w:rPr>
            </w:pPr>
            <w:r w:rsidRPr="00B2269C">
              <w:rPr>
                <w:sz w:val="22"/>
                <w:szCs w:val="22"/>
              </w:rPr>
              <w:t>Greater malondialdehyde concentrations increase hemoglobin glycation reactions</w:t>
            </w:r>
          </w:p>
        </w:tc>
      </w:tr>
      <w:tr w:rsidR="00331004" w:rsidRPr="00B2269C" w14:paraId="2355FDAE" w14:textId="77777777" w:rsidTr="002F0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6" w:type="dxa"/>
          </w:tcPr>
          <w:p w14:paraId="020C286D" w14:textId="77777777" w:rsidR="00331004" w:rsidRPr="00B2269C" w:rsidRDefault="00331004">
            <w:pPr>
              <w:rPr>
                <w:sz w:val="22"/>
                <w:szCs w:val="22"/>
              </w:rPr>
            </w:pPr>
            <w:r w:rsidRPr="00B2269C">
              <w:rPr>
                <w:sz w:val="22"/>
                <w:szCs w:val="22"/>
              </w:rPr>
              <w:t>Pregnancy</w:t>
            </w:r>
          </w:p>
        </w:tc>
        <w:tc>
          <w:tcPr>
            <w:tcW w:w="2789" w:type="dxa"/>
          </w:tcPr>
          <w:p w14:paraId="27778131" w14:textId="77777777" w:rsidR="00331004" w:rsidRPr="00B2269C" w:rsidRDefault="00331004">
            <w:pPr>
              <w:cnfStyle w:val="000000100000" w:firstRow="0" w:lastRow="0" w:firstColumn="0" w:lastColumn="0" w:oddVBand="0" w:evenVBand="0" w:oddHBand="1" w:evenHBand="0" w:firstRowFirstColumn="0" w:firstRowLastColumn="0" w:lastRowFirstColumn="0" w:lastRowLastColumn="0"/>
              <w:rPr>
                <w:sz w:val="22"/>
                <w:szCs w:val="22"/>
              </w:rPr>
            </w:pPr>
            <w:r w:rsidRPr="00B2269C">
              <w:rPr>
                <w:sz w:val="22"/>
                <w:szCs w:val="22"/>
              </w:rPr>
              <w:t>Decreases HbA1c in first 2 trimesters</w:t>
            </w:r>
          </w:p>
          <w:p w14:paraId="2EA3F2FF" w14:textId="77777777" w:rsidR="00331004" w:rsidRPr="00B2269C" w:rsidRDefault="00331004">
            <w:pPr>
              <w:cnfStyle w:val="000000100000" w:firstRow="0" w:lastRow="0" w:firstColumn="0" w:lastColumn="0" w:oddVBand="0" w:evenVBand="0" w:oddHBand="1" w:evenHBand="0" w:firstRowFirstColumn="0" w:firstRowLastColumn="0" w:lastRowFirstColumn="0" w:lastRowLastColumn="0"/>
              <w:rPr>
                <w:sz w:val="22"/>
                <w:szCs w:val="22"/>
              </w:rPr>
            </w:pPr>
            <w:r w:rsidRPr="00B2269C">
              <w:rPr>
                <w:sz w:val="22"/>
                <w:szCs w:val="22"/>
              </w:rPr>
              <w:t>May increase HbA1c in 3</w:t>
            </w:r>
            <w:r w:rsidRPr="00B2269C">
              <w:rPr>
                <w:sz w:val="22"/>
                <w:szCs w:val="22"/>
                <w:vertAlign w:val="superscript"/>
              </w:rPr>
              <w:t>rd</w:t>
            </w:r>
            <w:r w:rsidRPr="00B2269C">
              <w:rPr>
                <w:sz w:val="22"/>
                <w:szCs w:val="22"/>
              </w:rPr>
              <w:t xml:space="preserve"> trimester</w:t>
            </w:r>
          </w:p>
        </w:tc>
        <w:tc>
          <w:tcPr>
            <w:tcW w:w="7915" w:type="dxa"/>
          </w:tcPr>
          <w:p w14:paraId="62ADE1F9" w14:textId="77777777" w:rsidR="00331004" w:rsidRPr="00B2269C" w:rsidRDefault="00331004">
            <w:pPr>
              <w:cnfStyle w:val="000000100000" w:firstRow="0" w:lastRow="0" w:firstColumn="0" w:lastColumn="0" w:oddVBand="0" w:evenVBand="0" w:oddHBand="1" w:evenHBand="0" w:firstRowFirstColumn="0" w:firstRowLastColumn="0" w:lastRowFirstColumn="0" w:lastRowLastColumn="0"/>
              <w:rPr>
                <w:sz w:val="22"/>
                <w:szCs w:val="22"/>
              </w:rPr>
            </w:pPr>
            <w:r w:rsidRPr="00B2269C">
              <w:rPr>
                <w:sz w:val="22"/>
                <w:szCs w:val="22"/>
              </w:rPr>
              <w:t>Increased RBC turnover decreases hemoglobin A1c</w:t>
            </w:r>
          </w:p>
          <w:p w14:paraId="43C2F648" w14:textId="77777777" w:rsidR="00331004" w:rsidRPr="00B2269C" w:rsidRDefault="00331004">
            <w:pPr>
              <w:cnfStyle w:val="000000100000" w:firstRow="0" w:lastRow="0" w:firstColumn="0" w:lastColumn="0" w:oddVBand="0" w:evenVBand="0" w:oddHBand="1" w:evenHBand="0" w:firstRowFirstColumn="0" w:firstRowLastColumn="0" w:lastRowFirstColumn="0" w:lastRowLastColumn="0"/>
              <w:rPr>
                <w:sz w:val="22"/>
                <w:szCs w:val="22"/>
              </w:rPr>
            </w:pPr>
            <w:r w:rsidRPr="00B2269C">
              <w:rPr>
                <w:sz w:val="22"/>
                <w:szCs w:val="22"/>
              </w:rPr>
              <w:t xml:space="preserve">Increased erythropoietin production decreases hemoglobin A1c </w:t>
            </w:r>
          </w:p>
          <w:p w14:paraId="296F066B" w14:textId="77777777" w:rsidR="00331004" w:rsidRPr="00B2269C" w:rsidRDefault="00331004">
            <w:pPr>
              <w:cnfStyle w:val="000000100000" w:firstRow="0" w:lastRow="0" w:firstColumn="0" w:lastColumn="0" w:oddVBand="0" w:evenVBand="0" w:oddHBand="1" w:evenHBand="0" w:firstRowFirstColumn="0" w:firstRowLastColumn="0" w:lastRowFirstColumn="0" w:lastRowLastColumn="0"/>
              <w:rPr>
                <w:sz w:val="22"/>
                <w:szCs w:val="22"/>
              </w:rPr>
            </w:pPr>
            <w:r w:rsidRPr="00B2269C">
              <w:rPr>
                <w:sz w:val="22"/>
                <w:szCs w:val="22"/>
              </w:rPr>
              <w:t>Hemodilution decreases hemoglobin A1c</w:t>
            </w:r>
          </w:p>
        </w:tc>
      </w:tr>
      <w:tr w:rsidR="00331004" w:rsidRPr="00B2269C" w14:paraId="087B7D90" w14:textId="77777777" w:rsidTr="002F03E6">
        <w:tc>
          <w:tcPr>
            <w:cnfStyle w:val="001000000000" w:firstRow="0" w:lastRow="0" w:firstColumn="1" w:lastColumn="0" w:oddVBand="0" w:evenVBand="0" w:oddHBand="0" w:evenHBand="0" w:firstRowFirstColumn="0" w:firstRowLastColumn="0" w:lastRowFirstColumn="0" w:lastRowLastColumn="0"/>
            <w:tcW w:w="2246" w:type="dxa"/>
          </w:tcPr>
          <w:p w14:paraId="34F1C8A4" w14:textId="77777777" w:rsidR="00331004" w:rsidRPr="00B2269C" w:rsidRDefault="00331004">
            <w:pPr>
              <w:rPr>
                <w:sz w:val="22"/>
                <w:szCs w:val="22"/>
              </w:rPr>
            </w:pPr>
            <w:r w:rsidRPr="00B2269C">
              <w:rPr>
                <w:sz w:val="22"/>
                <w:szCs w:val="22"/>
              </w:rPr>
              <w:t>Transfusion</w:t>
            </w:r>
          </w:p>
        </w:tc>
        <w:tc>
          <w:tcPr>
            <w:tcW w:w="2789" w:type="dxa"/>
          </w:tcPr>
          <w:p w14:paraId="3AAAF98B" w14:textId="77777777" w:rsidR="00331004" w:rsidRPr="00B2269C" w:rsidRDefault="00331004">
            <w:pPr>
              <w:cnfStyle w:val="000000000000" w:firstRow="0" w:lastRow="0" w:firstColumn="0" w:lastColumn="0" w:oddVBand="0" w:evenVBand="0" w:oddHBand="0" w:evenHBand="0" w:firstRowFirstColumn="0" w:firstRowLastColumn="0" w:lastRowFirstColumn="0" w:lastRowLastColumn="0"/>
              <w:rPr>
                <w:sz w:val="22"/>
                <w:szCs w:val="22"/>
              </w:rPr>
            </w:pPr>
            <w:r w:rsidRPr="00B2269C">
              <w:rPr>
                <w:sz w:val="22"/>
                <w:szCs w:val="22"/>
              </w:rPr>
              <w:t>Variable HbA1c effects</w:t>
            </w:r>
          </w:p>
        </w:tc>
        <w:tc>
          <w:tcPr>
            <w:tcW w:w="7915" w:type="dxa"/>
          </w:tcPr>
          <w:p w14:paraId="4C342BA7" w14:textId="77777777" w:rsidR="00331004" w:rsidRPr="00B2269C" w:rsidRDefault="00331004">
            <w:pPr>
              <w:cnfStyle w:val="000000000000" w:firstRow="0" w:lastRow="0" w:firstColumn="0" w:lastColumn="0" w:oddVBand="0" w:evenVBand="0" w:oddHBand="0" w:evenHBand="0" w:firstRowFirstColumn="0" w:firstRowLastColumn="0" w:lastRowFirstColumn="0" w:lastRowLastColumn="0"/>
              <w:rPr>
                <w:sz w:val="22"/>
                <w:szCs w:val="22"/>
              </w:rPr>
            </w:pPr>
            <w:r w:rsidRPr="00B2269C">
              <w:rPr>
                <w:b/>
                <w:bCs/>
                <w:sz w:val="22"/>
                <w:szCs w:val="22"/>
              </w:rPr>
              <w:t>Increased hemoglobin A1c:</w:t>
            </w:r>
            <w:r w:rsidRPr="00B2269C">
              <w:rPr>
                <w:sz w:val="22"/>
                <w:szCs w:val="22"/>
              </w:rPr>
              <w:t xml:space="preserve"> Elevated glucose concentration in storage medium </w:t>
            </w:r>
            <w:r w:rsidRPr="00B2269C">
              <w:rPr>
                <w:b/>
                <w:bCs/>
                <w:sz w:val="22"/>
                <w:szCs w:val="22"/>
              </w:rPr>
              <w:t>Decreased hemoglobin A1c:</w:t>
            </w:r>
            <w:r w:rsidRPr="00B2269C">
              <w:rPr>
                <w:sz w:val="22"/>
                <w:szCs w:val="22"/>
              </w:rPr>
              <w:t xml:space="preserve"> Dilutional response</w:t>
            </w:r>
          </w:p>
        </w:tc>
      </w:tr>
      <w:tr w:rsidR="00331004" w:rsidRPr="00B2269C" w14:paraId="725ED63C" w14:textId="77777777" w:rsidTr="002F0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6" w:type="dxa"/>
          </w:tcPr>
          <w:p w14:paraId="048CB344" w14:textId="77777777" w:rsidR="00331004" w:rsidRPr="00B2269C" w:rsidRDefault="00331004">
            <w:pPr>
              <w:rPr>
                <w:sz w:val="22"/>
                <w:szCs w:val="22"/>
              </w:rPr>
            </w:pPr>
            <w:r w:rsidRPr="00B2269C">
              <w:rPr>
                <w:sz w:val="22"/>
                <w:szCs w:val="22"/>
              </w:rPr>
              <w:t>Vitamin B12 and folate deficiency anemias</w:t>
            </w:r>
          </w:p>
        </w:tc>
        <w:tc>
          <w:tcPr>
            <w:tcW w:w="2789" w:type="dxa"/>
          </w:tcPr>
          <w:p w14:paraId="24C5E2CA" w14:textId="77777777" w:rsidR="00331004" w:rsidRPr="00B2269C" w:rsidRDefault="00331004">
            <w:pPr>
              <w:cnfStyle w:val="000000100000" w:firstRow="0" w:lastRow="0" w:firstColumn="0" w:lastColumn="0" w:oddVBand="0" w:evenVBand="0" w:oddHBand="1" w:evenHBand="0" w:firstRowFirstColumn="0" w:firstRowLastColumn="0" w:lastRowFirstColumn="0" w:lastRowLastColumn="0"/>
              <w:rPr>
                <w:sz w:val="22"/>
                <w:szCs w:val="22"/>
              </w:rPr>
            </w:pPr>
            <w:r w:rsidRPr="00B2269C">
              <w:rPr>
                <w:sz w:val="22"/>
                <w:szCs w:val="22"/>
              </w:rPr>
              <w:t>Increases HbA1c</w:t>
            </w:r>
          </w:p>
        </w:tc>
        <w:tc>
          <w:tcPr>
            <w:tcW w:w="7915" w:type="dxa"/>
          </w:tcPr>
          <w:p w14:paraId="569A23DE" w14:textId="77777777" w:rsidR="00331004" w:rsidRPr="00B2269C" w:rsidRDefault="00331004">
            <w:pPr>
              <w:cnfStyle w:val="000000100000" w:firstRow="0" w:lastRow="0" w:firstColumn="0" w:lastColumn="0" w:oddVBand="0" w:evenVBand="0" w:oddHBand="1" w:evenHBand="0" w:firstRowFirstColumn="0" w:firstRowLastColumn="0" w:lastRowFirstColumn="0" w:lastRowLastColumn="0"/>
              <w:rPr>
                <w:sz w:val="22"/>
                <w:szCs w:val="22"/>
              </w:rPr>
            </w:pPr>
            <w:r w:rsidRPr="00B2269C">
              <w:rPr>
                <w:sz w:val="22"/>
                <w:szCs w:val="22"/>
              </w:rPr>
              <w:t>Reduced RBC turnover prolongs RBC survival</w:t>
            </w:r>
          </w:p>
        </w:tc>
      </w:tr>
    </w:tbl>
    <w:p w14:paraId="0C4727BD" w14:textId="4CD51C79" w:rsidR="00331004" w:rsidRPr="002F6944" w:rsidRDefault="00E71E5A">
      <w:pPr>
        <w:rPr>
          <w:rFonts w:asciiTheme="majorHAnsi" w:eastAsiaTheme="majorEastAsia" w:hAnsiTheme="majorHAnsi" w:cstheme="majorBidi"/>
          <w:color w:val="0F4761" w:themeColor="accent1" w:themeShade="BF"/>
          <w:sz w:val="28"/>
          <w:szCs w:val="28"/>
        </w:rPr>
      </w:pPr>
      <w:r>
        <w:rPr>
          <w:rFonts w:asciiTheme="majorHAnsi" w:eastAsiaTheme="majorEastAsia" w:hAnsiTheme="majorHAnsi" w:cstheme="majorBidi"/>
          <w:color w:val="0F4761" w:themeColor="accent1" w:themeShade="BF"/>
          <w:sz w:val="26"/>
          <w:szCs w:val="26"/>
        </w:rPr>
        <w:t xml:space="preserve">Further </w:t>
      </w:r>
      <w:r w:rsidR="002F6944">
        <w:rPr>
          <w:rFonts w:asciiTheme="majorHAnsi" w:eastAsiaTheme="majorEastAsia" w:hAnsiTheme="majorHAnsi" w:cstheme="majorBidi"/>
          <w:color w:val="0F4761" w:themeColor="accent1" w:themeShade="BF"/>
          <w:sz w:val="26"/>
          <w:szCs w:val="26"/>
        </w:rPr>
        <w:t>commentary here.</w:t>
      </w:r>
      <w:r w:rsidR="003663AA">
        <w:rPr>
          <w:rFonts w:ascii="ZWAdobeF" w:eastAsiaTheme="majorEastAsia" w:hAnsi="ZWAdobeF" w:cs="ZWAdobeF"/>
          <w:sz w:val="2"/>
          <w:szCs w:val="2"/>
        </w:rPr>
        <w:t>44F</w:t>
      </w:r>
      <w:r w:rsidR="002F6944">
        <w:rPr>
          <w:rStyle w:val="EndnoteReference"/>
          <w:rFonts w:asciiTheme="majorHAnsi" w:eastAsiaTheme="majorEastAsia" w:hAnsiTheme="majorHAnsi" w:cstheme="majorBidi"/>
          <w:color w:val="0F4761" w:themeColor="accent1" w:themeShade="BF"/>
          <w:sz w:val="26"/>
          <w:szCs w:val="26"/>
        </w:rPr>
        <w:endnoteReference w:id="50"/>
      </w:r>
    </w:p>
    <w:p w14:paraId="1A8E04CA" w14:textId="77777777" w:rsidR="0049148F" w:rsidRDefault="0049148F">
      <w:pPr>
        <w:rPr>
          <w:rFonts w:asciiTheme="majorHAnsi" w:eastAsiaTheme="majorEastAsia" w:hAnsiTheme="majorHAnsi" w:cstheme="majorBidi"/>
          <w:color w:val="0F4761" w:themeColor="accent1" w:themeShade="BF"/>
          <w:sz w:val="26"/>
          <w:szCs w:val="26"/>
        </w:rPr>
      </w:pPr>
      <w:bookmarkStart w:id="91" w:name="_Toc206580474"/>
      <w:r>
        <w:br w:type="page"/>
      </w:r>
    </w:p>
    <w:p w14:paraId="3D6EC324" w14:textId="3B7BE1B1" w:rsidR="000421DD" w:rsidRDefault="00966EBD" w:rsidP="00966EBD">
      <w:pPr>
        <w:pStyle w:val="Heading2"/>
      </w:pPr>
      <w:bookmarkStart w:id="92" w:name="_Toc212542309"/>
      <w:r>
        <w:lastRenderedPageBreak/>
        <w:t xml:space="preserve">Appendix </w:t>
      </w:r>
      <w:r w:rsidR="006A316B">
        <w:t>E.</w:t>
      </w:r>
      <w:r>
        <w:t xml:space="preserve"> </w:t>
      </w:r>
      <w:r w:rsidR="000421DD" w:rsidRPr="005F078A">
        <w:t>Considerations for perioperative glycemic control</w:t>
      </w:r>
      <w:r w:rsidR="006A316B">
        <w:t xml:space="preserve"> in </w:t>
      </w:r>
      <w:proofErr w:type="spellStart"/>
      <w:proofErr w:type="gramStart"/>
      <w:r w:rsidR="006A316B">
        <w:t>patient’s</w:t>
      </w:r>
      <w:proofErr w:type="spellEnd"/>
      <w:proofErr w:type="gramEnd"/>
      <w:r w:rsidR="006A316B">
        <w:t xml:space="preserve"> with diabetes</w:t>
      </w:r>
      <w:r w:rsidR="000421DD" w:rsidRPr="005F078A">
        <w:t xml:space="preserve"> based on surgical and patient risk</w:t>
      </w:r>
      <w:bookmarkEnd w:id="91"/>
      <w:bookmarkEnd w:id="92"/>
    </w:p>
    <w:tbl>
      <w:tblPr>
        <w:tblStyle w:val="ListTable4-Accent4"/>
        <w:tblW w:w="0" w:type="auto"/>
        <w:tblLook w:val="04A0" w:firstRow="1" w:lastRow="0" w:firstColumn="1" w:lastColumn="0" w:noHBand="0" w:noVBand="1"/>
      </w:tblPr>
      <w:tblGrid>
        <w:gridCol w:w="1320"/>
        <w:gridCol w:w="1550"/>
        <w:gridCol w:w="1761"/>
        <w:gridCol w:w="1974"/>
        <w:gridCol w:w="2412"/>
        <w:gridCol w:w="2108"/>
        <w:gridCol w:w="1825"/>
      </w:tblGrid>
      <w:tr w:rsidR="000421DD" w14:paraId="0A2E0601" w14:textId="77777777" w:rsidTr="002F03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9" w:type="dxa"/>
          </w:tcPr>
          <w:p w14:paraId="5D4121D4" w14:textId="77777777" w:rsidR="000421DD" w:rsidRDefault="000421DD"/>
        </w:tc>
        <w:tc>
          <w:tcPr>
            <w:tcW w:w="11621" w:type="dxa"/>
            <w:gridSpan w:val="6"/>
          </w:tcPr>
          <w:p w14:paraId="26BBB57B" w14:textId="77777777" w:rsidR="000421DD" w:rsidRDefault="000421DD">
            <w:pPr>
              <w:cnfStyle w:val="100000000000" w:firstRow="1" w:lastRow="0" w:firstColumn="0" w:lastColumn="0" w:oddVBand="0" w:evenVBand="0" w:oddHBand="0" w:evenHBand="0" w:firstRowFirstColumn="0" w:firstRowLastColumn="0" w:lastRowFirstColumn="0" w:lastRowLastColumn="0"/>
            </w:pPr>
            <w:r>
              <w:t>Surgical Risk Score</w:t>
            </w:r>
          </w:p>
        </w:tc>
      </w:tr>
      <w:tr w:rsidR="000421DD" w14:paraId="3D8FA133" w14:textId="77777777" w:rsidTr="002F0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9" w:type="dxa"/>
            <w:vMerge w:val="restart"/>
          </w:tcPr>
          <w:p w14:paraId="22A9116F" w14:textId="77777777" w:rsidR="000421DD" w:rsidRDefault="000421DD">
            <w:r>
              <w:t>Patient Risk Score</w:t>
            </w:r>
          </w:p>
        </w:tc>
        <w:tc>
          <w:tcPr>
            <w:tcW w:w="1461" w:type="dxa"/>
          </w:tcPr>
          <w:p w14:paraId="4B0E8439" w14:textId="77777777" w:rsidR="000421DD" w:rsidRDefault="000421DD">
            <w:pPr>
              <w:cnfStyle w:val="000000100000" w:firstRow="0" w:lastRow="0" w:firstColumn="0" w:lastColumn="0" w:oddVBand="0" w:evenVBand="0" w:oddHBand="1" w:evenHBand="0" w:firstRowFirstColumn="0" w:firstRowLastColumn="0" w:lastRowFirstColumn="0" w:lastRowLastColumn="0"/>
            </w:pPr>
          </w:p>
        </w:tc>
        <w:tc>
          <w:tcPr>
            <w:tcW w:w="1795" w:type="dxa"/>
          </w:tcPr>
          <w:p w14:paraId="06F361B1" w14:textId="77777777" w:rsidR="000421DD" w:rsidRDefault="000421DD">
            <w:pPr>
              <w:cnfStyle w:val="000000100000" w:firstRow="0" w:lastRow="0" w:firstColumn="0" w:lastColumn="0" w:oddVBand="0" w:evenVBand="0" w:oddHBand="1" w:evenHBand="0" w:firstRowFirstColumn="0" w:firstRowLastColumn="0" w:lastRowFirstColumn="0" w:lastRowLastColumn="0"/>
            </w:pPr>
            <w:r>
              <w:t>1</w:t>
            </w:r>
          </w:p>
        </w:tc>
        <w:tc>
          <w:tcPr>
            <w:tcW w:w="1980" w:type="dxa"/>
          </w:tcPr>
          <w:p w14:paraId="41F774C1" w14:textId="77777777" w:rsidR="000421DD" w:rsidRDefault="000421DD">
            <w:pPr>
              <w:cnfStyle w:val="000000100000" w:firstRow="0" w:lastRow="0" w:firstColumn="0" w:lastColumn="0" w:oddVBand="0" w:evenVBand="0" w:oddHBand="1" w:evenHBand="0" w:firstRowFirstColumn="0" w:firstRowLastColumn="0" w:lastRowFirstColumn="0" w:lastRowLastColumn="0"/>
            </w:pPr>
            <w:r>
              <w:t>2</w:t>
            </w:r>
          </w:p>
        </w:tc>
        <w:tc>
          <w:tcPr>
            <w:tcW w:w="2430" w:type="dxa"/>
          </w:tcPr>
          <w:p w14:paraId="4D46E575" w14:textId="77777777" w:rsidR="000421DD" w:rsidRDefault="000421DD">
            <w:pPr>
              <w:cnfStyle w:val="000000100000" w:firstRow="0" w:lastRow="0" w:firstColumn="0" w:lastColumn="0" w:oddVBand="0" w:evenVBand="0" w:oddHBand="1" w:evenHBand="0" w:firstRowFirstColumn="0" w:firstRowLastColumn="0" w:lastRowFirstColumn="0" w:lastRowLastColumn="0"/>
            </w:pPr>
            <w:r>
              <w:t>3</w:t>
            </w:r>
          </w:p>
        </w:tc>
        <w:tc>
          <w:tcPr>
            <w:tcW w:w="2117" w:type="dxa"/>
          </w:tcPr>
          <w:p w14:paraId="33DD8F13" w14:textId="77777777" w:rsidR="000421DD" w:rsidRDefault="000421DD">
            <w:pPr>
              <w:cnfStyle w:val="000000100000" w:firstRow="0" w:lastRow="0" w:firstColumn="0" w:lastColumn="0" w:oddVBand="0" w:evenVBand="0" w:oddHBand="1" w:evenHBand="0" w:firstRowFirstColumn="0" w:firstRowLastColumn="0" w:lastRowFirstColumn="0" w:lastRowLastColumn="0"/>
            </w:pPr>
            <w:r>
              <w:t>4</w:t>
            </w:r>
          </w:p>
        </w:tc>
        <w:tc>
          <w:tcPr>
            <w:tcW w:w="1838" w:type="dxa"/>
          </w:tcPr>
          <w:p w14:paraId="55C69003" w14:textId="77777777" w:rsidR="000421DD" w:rsidRDefault="000421DD">
            <w:pPr>
              <w:cnfStyle w:val="000000100000" w:firstRow="0" w:lastRow="0" w:firstColumn="0" w:lastColumn="0" w:oddVBand="0" w:evenVBand="0" w:oddHBand="1" w:evenHBand="0" w:firstRowFirstColumn="0" w:firstRowLastColumn="0" w:lastRowFirstColumn="0" w:lastRowLastColumn="0"/>
            </w:pPr>
            <w:r>
              <w:t>5</w:t>
            </w:r>
          </w:p>
        </w:tc>
      </w:tr>
      <w:tr w:rsidR="000421DD" w14:paraId="291F9827" w14:textId="77777777" w:rsidTr="002F03E6">
        <w:tc>
          <w:tcPr>
            <w:cnfStyle w:val="001000000000" w:firstRow="0" w:lastRow="0" w:firstColumn="1" w:lastColumn="0" w:oddVBand="0" w:evenVBand="0" w:oddHBand="0" w:evenHBand="0" w:firstRowFirstColumn="0" w:firstRowLastColumn="0" w:lastRowFirstColumn="0" w:lastRowLastColumn="0"/>
            <w:tcW w:w="1329" w:type="dxa"/>
            <w:vMerge/>
          </w:tcPr>
          <w:p w14:paraId="4A2800C3" w14:textId="77777777" w:rsidR="000421DD" w:rsidRDefault="000421DD"/>
        </w:tc>
        <w:tc>
          <w:tcPr>
            <w:tcW w:w="1461" w:type="dxa"/>
          </w:tcPr>
          <w:p w14:paraId="7BB20D81" w14:textId="77777777" w:rsidR="000421DD" w:rsidRDefault="000421DD">
            <w:pPr>
              <w:cnfStyle w:val="000000000000" w:firstRow="0" w:lastRow="0" w:firstColumn="0" w:lastColumn="0" w:oddVBand="0" w:evenVBand="0" w:oddHBand="0" w:evenHBand="0" w:firstRowFirstColumn="0" w:firstRowLastColumn="0" w:lastRowFirstColumn="0" w:lastRowLastColumn="0"/>
            </w:pPr>
            <w:r>
              <w:t>1-not diabetic</w:t>
            </w:r>
          </w:p>
        </w:tc>
        <w:tc>
          <w:tcPr>
            <w:tcW w:w="1795" w:type="dxa"/>
          </w:tcPr>
          <w:p w14:paraId="78BD17CE" w14:textId="7C369CEF" w:rsidR="000421DD" w:rsidRDefault="006A316B">
            <w:pPr>
              <w:cnfStyle w:val="000000000000" w:firstRow="0" w:lastRow="0" w:firstColumn="0" w:lastColumn="0" w:oddVBand="0" w:evenVBand="0" w:oddHBand="0" w:evenHBand="0" w:firstRowFirstColumn="0" w:firstRowLastColumn="0" w:lastRowFirstColumn="0" w:lastRowLastColumn="0"/>
            </w:pPr>
            <w:r>
              <w:t>NA</w:t>
            </w:r>
          </w:p>
        </w:tc>
        <w:tc>
          <w:tcPr>
            <w:tcW w:w="1980" w:type="dxa"/>
          </w:tcPr>
          <w:p w14:paraId="0947231D" w14:textId="738C4D5D" w:rsidR="000421DD" w:rsidRDefault="006A316B">
            <w:pPr>
              <w:cnfStyle w:val="000000000000" w:firstRow="0" w:lastRow="0" w:firstColumn="0" w:lastColumn="0" w:oddVBand="0" w:evenVBand="0" w:oddHBand="0" w:evenHBand="0" w:firstRowFirstColumn="0" w:firstRowLastColumn="0" w:lastRowFirstColumn="0" w:lastRowLastColumn="0"/>
            </w:pPr>
            <w:r>
              <w:t>NA</w:t>
            </w:r>
          </w:p>
        </w:tc>
        <w:tc>
          <w:tcPr>
            <w:tcW w:w="2430" w:type="dxa"/>
          </w:tcPr>
          <w:p w14:paraId="091ACAF5" w14:textId="77777777" w:rsidR="000421DD" w:rsidRPr="00B22CF1" w:rsidRDefault="000421DD">
            <w:pPr>
              <w:cnfStyle w:val="000000000000" w:firstRow="0" w:lastRow="0" w:firstColumn="0" w:lastColumn="0" w:oddVBand="0" w:evenVBand="0" w:oddHBand="0" w:evenHBand="0" w:firstRowFirstColumn="0" w:firstRowLastColumn="0" w:lastRowFirstColumn="0" w:lastRowLastColumn="0"/>
            </w:pPr>
            <w:r w:rsidRPr="00B22CF1">
              <w:t>Check a day of surgery blood glucose</w:t>
            </w:r>
          </w:p>
        </w:tc>
        <w:tc>
          <w:tcPr>
            <w:tcW w:w="2117" w:type="dxa"/>
          </w:tcPr>
          <w:p w14:paraId="63E8CE0D" w14:textId="77777777" w:rsidR="000421DD" w:rsidRPr="00EC282F" w:rsidRDefault="000421DD">
            <w:pPr>
              <w:cnfStyle w:val="000000000000" w:firstRow="0" w:lastRow="0" w:firstColumn="0" w:lastColumn="0" w:oddVBand="0" w:evenVBand="0" w:oddHBand="0" w:evenHBand="0" w:firstRowFirstColumn="0" w:firstRowLastColumn="0" w:lastRowFirstColumn="0" w:lastRowLastColumn="0"/>
            </w:pPr>
            <w:r>
              <w:t>Check a day of surgery blood glucose</w:t>
            </w:r>
          </w:p>
        </w:tc>
        <w:tc>
          <w:tcPr>
            <w:tcW w:w="1838" w:type="dxa"/>
          </w:tcPr>
          <w:p w14:paraId="7535B9A3" w14:textId="77777777" w:rsidR="000421DD" w:rsidRDefault="000421DD">
            <w:pPr>
              <w:cnfStyle w:val="000000000000" w:firstRow="0" w:lastRow="0" w:firstColumn="0" w:lastColumn="0" w:oddVBand="0" w:evenVBand="0" w:oddHBand="0" w:evenHBand="0" w:firstRowFirstColumn="0" w:firstRowLastColumn="0" w:lastRowFirstColumn="0" w:lastRowLastColumn="0"/>
            </w:pPr>
            <w:r>
              <w:t>Check a day of surgery blood glucose</w:t>
            </w:r>
          </w:p>
        </w:tc>
      </w:tr>
      <w:tr w:rsidR="000421DD" w14:paraId="62DBFB26" w14:textId="77777777" w:rsidTr="002F0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9" w:type="dxa"/>
            <w:vMerge/>
          </w:tcPr>
          <w:p w14:paraId="3C1CE669" w14:textId="77777777" w:rsidR="000421DD" w:rsidRDefault="000421DD"/>
        </w:tc>
        <w:tc>
          <w:tcPr>
            <w:tcW w:w="1461" w:type="dxa"/>
          </w:tcPr>
          <w:p w14:paraId="3BC0269B" w14:textId="77777777" w:rsidR="000421DD" w:rsidRDefault="000421DD">
            <w:pPr>
              <w:cnfStyle w:val="000000100000" w:firstRow="0" w:lastRow="0" w:firstColumn="0" w:lastColumn="0" w:oddVBand="0" w:evenVBand="0" w:oddHBand="1" w:evenHBand="0" w:firstRowFirstColumn="0" w:firstRowLastColumn="0" w:lastRowFirstColumn="0" w:lastRowLastColumn="0"/>
            </w:pPr>
            <w:r>
              <w:t>2-people with diabetes (HbA1c&lt;8%)</w:t>
            </w:r>
          </w:p>
        </w:tc>
        <w:tc>
          <w:tcPr>
            <w:tcW w:w="1795" w:type="dxa"/>
          </w:tcPr>
          <w:p w14:paraId="5595E7B1" w14:textId="379B92DE" w:rsidR="000421DD" w:rsidRDefault="006A316B">
            <w:pPr>
              <w:cnfStyle w:val="000000100000" w:firstRow="0" w:lastRow="0" w:firstColumn="0" w:lastColumn="0" w:oddVBand="0" w:evenVBand="0" w:oddHBand="1" w:evenHBand="0" w:firstRowFirstColumn="0" w:firstRowLastColumn="0" w:lastRowFirstColumn="0" w:lastRowLastColumn="0"/>
            </w:pPr>
            <w:r>
              <w:t>NA</w:t>
            </w:r>
          </w:p>
        </w:tc>
        <w:tc>
          <w:tcPr>
            <w:tcW w:w="1980" w:type="dxa"/>
          </w:tcPr>
          <w:p w14:paraId="72E653E7" w14:textId="329CB912" w:rsidR="000421DD" w:rsidRDefault="006A316B">
            <w:pPr>
              <w:cnfStyle w:val="000000100000" w:firstRow="0" w:lastRow="0" w:firstColumn="0" w:lastColumn="0" w:oddVBand="0" w:evenVBand="0" w:oddHBand="1" w:evenHBand="0" w:firstRowFirstColumn="0" w:firstRowLastColumn="0" w:lastRowFirstColumn="0" w:lastRowLastColumn="0"/>
            </w:pPr>
            <w:r>
              <w:t>NA</w:t>
            </w:r>
          </w:p>
        </w:tc>
        <w:tc>
          <w:tcPr>
            <w:tcW w:w="2430" w:type="dxa"/>
          </w:tcPr>
          <w:p w14:paraId="092DC69F" w14:textId="77777777" w:rsidR="000421DD" w:rsidRPr="00FD646D" w:rsidRDefault="000421DD">
            <w:pPr>
              <w:cnfStyle w:val="000000100000" w:firstRow="0" w:lastRow="0" w:firstColumn="0" w:lastColumn="0" w:oddVBand="0" w:evenVBand="0" w:oddHBand="1" w:evenHBand="0" w:firstRowFirstColumn="0" w:firstRowLastColumn="0" w:lastRowFirstColumn="0" w:lastRowLastColumn="0"/>
            </w:pPr>
            <w:r>
              <w:t>check a day of blood glucose; schedule close follow up.</w:t>
            </w:r>
          </w:p>
        </w:tc>
        <w:tc>
          <w:tcPr>
            <w:tcW w:w="2117" w:type="dxa"/>
          </w:tcPr>
          <w:p w14:paraId="3C29856C" w14:textId="77777777" w:rsidR="000421DD" w:rsidRDefault="000421DD">
            <w:pPr>
              <w:cnfStyle w:val="000000100000" w:firstRow="0" w:lastRow="0" w:firstColumn="0" w:lastColumn="0" w:oddVBand="0" w:evenVBand="0" w:oddHBand="1" w:evenHBand="0" w:firstRowFirstColumn="0" w:firstRowLastColumn="0" w:lastRowFirstColumn="0" w:lastRowLastColumn="0"/>
            </w:pPr>
            <w:r>
              <w:t xml:space="preserve">Check </w:t>
            </w:r>
            <w:proofErr w:type="gramStart"/>
            <w:r>
              <w:t>a day</w:t>
            </w:r>
            <w:proofErr w:type="gramEnd"/>
            <w:r>
              <w:t xml:space="preserve"> of blood glucose. Schedule close follow up. If unable to do so, </w:t>
            </w:r>
            <w:r w:rsidRPr="00AD1CA2">
              <w:rPr>
                <w:b/>
                <w:bCs/>
              </w:rPr>
              <w:t>Consider delaying procedure if severely elevated</w:t>
            </w:r>
            <w:r>
              <w:t xml:space="preserve"> </w:t>
            </w:r>
          </w:p>
        </w:tc>
        <w:tc>
          <w:tcPr>
            <w:tcW w:w="1838" w:type="dxa"/>
          </w:tcPr>
          <w:p w14:paraId="1FF05AE6" w14:textId="77777777" w:rsidR="000421DD" w:rsidRPr="00AD1CA2" w:rsidRDefault="000421DD">
            <w:pPr>
              <w:cnfStyle w:val="000000100000" w:firstRow="0" w:lastRow="0" w:firstColumn="0" w:lastColumn="0" w:oddVBand="0" w:evenVBand="0" w:oddHBand="1" w:evenHBand="0" w:firstRowFirstColumn="0" w:firstRowLastColumn="0" w:lastRowFirstColumn="0" w:lastRowLastColumn="0"/>
              <w:rPr>
                <w:b/>
                <w:bCs/>
              </w:rPr>
            </w:pPr>
            <w:r>
              <w:t xml:space="preserve">Check </w:t>
            </w:r>
            <w:proofErr w:type="gramStart"/>
            <w:r>
              <w:t>a day</w:t>
            </w:r>
            <w:proofErr w:type="gramEnd"/>
            <w:r>
              <w:t xml:space="preserve"> of blood glucose. Schedule close follow up. </w:t>
            </w:r>
            <w:r w:rsidRPr="00AD1CA2">
              <w:rPr>
                <w:b/>
                <w:bCs/>
              </w:rPr>
              <w:t xml:space="preserve">Consider delaying procedure if </w:t>
            </w:r>
            <w:r>
              <w:rPr>
                <w:b/>
                <w:bCs/>
              </w:rPr>
              <w:t xml:space="preserve">BG </w:t>
            </w:r>
            <w:r w:rsidRPr="00AD1CA2">
              <w:rPr>
                <w:b/>
                <w:bCs/>
              </w:rPr>
              <w:t>severely elevated</w:t>
            </w:r>
          </w:p>
        </w:tc>
      </w:tr>
      <w:tr w:rsidR="000421DD" w14:paraId="22FC8F82" w14:textId="77777777" w:rsidTr="002F03E6">
        <w:tc>
          <w:tcPr>
            <w:cnfStyle w:val="001000000000" w:firstRow="0" w:lastRow="0" w:firstColumn="1" w:lastColumn="0" w:oddVBand="0" w:evenVBand="0" w:oddHBand="0" w:evenHBand="0" w:firstRowFirstColumn="0" w:firstRowLastColumn="0" w:lastRowFirstColumn="0" w:lastRowLastColumn="0"/>
            <w:tcW w:w="1329" w:type="dxa"/>
            <w:vMerge/>
          </w:tcPr>
          <w:p w14:paraId="2C3ED997" w14:textId="77777777" w:rsidR="000421DD" w:rsidRDefault="000421DD"/>
        </w:tc>
        <w:tc>
          <w:tcPr>
            <w:tcW w:w="1461" w:type="dxa"/>
          </w:tcPr>
          <w:p w14:paraId="022E4835" w14:textId="77777777" w:rsidR="000421DD" w:rsidRDefault="000421DD">
            <w:pPr>
              <w:cnfStyle w:val="000000000000" w:firstRow="0" w:lastRow="0" w:firstColumn="0" w:lastColumn="0" w:oddVBand="0" w:evenVBand="0" w:oddHBand="0" w:evenHBand="0" w:firstRowFirstColumn="0" w:firstRowLastColumn="0" w:lastRowFirstColumn="0" w:lastRowLastColumn="0"/>
            </w:pPr>
            <w:r>
              <w:t>3-people with uncontrolled diabetes (HbA1c &gt;/= 8%)</w:t>
            </w:r>
          </w:p>
        </w:tc>
        <w:tc>
          <w:tcPr>
            <w:tcW w:w="1795" w:type="dxa"/>
          </w:tcPr>
          <w:p w14:paraId="4494BE45" w14:textId="77777777" w:rsidR="000421DD" w:rsidRPr="00FD646D" w:rsidRDefault="000421DD">
            <w:pPr>
              <w:cnfStyle w:val="000000000000" w:firstRow="0" w:lastRow="0" w:firstColumn="0" w:lastColumn="0" w:oddVBand="0" w:evenVBand="0" w:oddHBand="0" w:evenHBand="0" w:firstRowFirstColumn="0" w:firstRowLastColumn="0" w:lastRowFirstColumn="0" w:lastRowLastColumn="0"/>
              <w:rPr>
                <w:i/>
                <w:iCs/>
              </w:rPr>
            </w:pPr>
          </w:p>
        </w:tc>
        <w:tc>
          <w:tcPr>
            <w:tcW w:w="1980" w:type="dxa"/>
          </w:tcPr>
          <w:p w14:paraId="19542C92" w14:textId="77777777" w:rsidR="000421DD" w:rsidRDefault="000421DD">
            <w:pPr>
              <w:cnfStyle w:val="000000000000" w:firstRow="0" w:lastRow="0" w:firstColumn="0" w:lastColumn="0" w:oddVBand="0" w:evenVBand="0" w:oddHBand="0" w:evenHBand="0" w:firstRowFirstColumn="0" w:firstRowLastColumn="0" w:lastRowFirstColumn="0" w:lastRowLastColumn="0"/>
            </w:pPr>
            <w:r>
              <w:t>Optimize HbA1c preoperatively; check a day of blood glucose; schedule close follow up</w:t>
            </w:r>
          </w:p>
        </w:tc>
        <w:tc>
          <w:tcPr>
            <w:tcW w:w="2430" w:type="dxa"/>
          </w:tcPr>
          <w:p w14:paraId="4D3E9CCD" w14:textId="77777777" w:rsidR="000421DD" w:rsidRPr="00E554FE" w:rsidRDefault="000421DD">
            <w:pPr>
              <w:cnfStyle w:val="000000000000" w:firstRow="0" w:lastRow="0" w:firstColumn="0" w:lastColumn="0" w:oddVBand="0" w:evenVBand="0" w:oddHBand="0" w:evenHBand="0" w:firstRowFirstColumn="0" w:firstRowLastColumn="0" w:lastRowFirstColumn="0" w:lastRowLastColumn="0"/>
            </w:pPr>
            <w:r>
              <w:t xml:space="preserve">Optimize HbA1c preoperatively; check a day of blood glucose; schedule close follow up; </w:t>
            </w:r>
            <w:r w:rsidRPr="00AD1CA2">
              <w:rPr>
                <w:b/>
                <w:bCs/>
              </w:rPr>
              <w:t>Consider delaying procedure if BG severely elevated</w:t>
            </w:r>
          </w:p>
        </w:tc>
        <w:tc>
          <w:tcPr>
            <w:tcW w:w="2117" w:type="dxa"/>
          </w:tcPr>
          <w:p w14:paraId="7612546A" w14:textId="77777777" w:rsidR="000421DD" w:rsidRPr="00E554FE" w:rsidRDefault="000421DD">
            <w:pPr>
              <w:cnfStyle w:val="000000000000" w:firstRow="0" w:lastRow="0" w:firstColumn="0" w:lastColumn="0" w:oddVBand="0" w:evenVBand="0" w:oddHBand="0" w:evenHBand="0" w:firstRowFirstColumn="0" w:firstRowLastColumn="0" w:lastRowFirstColumn="0" w:lastRowLastColumn="0"/>
              <w:rPr>
                <w:b/>
                <w:bCs/>
              </w:rPr>
            </w:pPr>
            <w:r>
              <w:t xml:space="preserve">Optimize HbA1c preoperatively; check a day of blood glucose; schedule close follow up; </w:t>
            </w:r>
            <w:r w:rsidRPr="00E554FE">
              <w:rPr>
                <w:b/>
                <w:bCs/>
              </w:rPr>
              <w:t xml:space="preserve">Consider delaying </w:t>
            </w:r>
            <w:r>
              <w:rPr>
                <w:b/>
                <w:bCs/>
              </w:rPr>
              <w:t xml:space="preserve">procedure if BG severely elevated. </w:t>
            </w:r>
          </w:p>
        </w:tc>
        <w:tc>
          <w:tcPr>
            <w:tcW w:w="1838" w:type="dxa"/>
          </w:tcPr>
          <w:p w14:paraId="383D4E96" w14:textId="77777777" w:rsidR="000421DD" w:rsidRPr="00E554FE" w:rsidRDefault="000421DD">
            <w:pPr>
              <w:cnfStyle w:val="000000000000" w:firstRow="0" w:lastRow="0" w:firstColumn="0" w:lastColumn="0" w:oddVBand="0" w:evenVBand="0" w:oddHBand="0" w:evenHBand="0" w:firstRowFirstColumn="0" w:firstRowLastColumn="0" w:lastRowFirstColumn="0" w:lastRowLastColumn="0"/>
              <w:rPr>
                <w:b/>
                <w:bCs/>
              </w:rPr>
            </w:pPr>
            <w:r w:rsidRPr="00E554FE">
              <w:rPr>
                <w:b/>
                <w:bCs/>
              </w:rPr>
              <w:t xml:space="preserve">Consider delaying if </w:t>
            </w:r>
            <w:r>
              <w:rPr>
                <w:b/>
                <w:bCs/>
              </w:rPr>
              <w:t>BG severely elevated</w:t>
            </w:r>
            <w:r w:rsidRPr="00E554FE">
              <w:rPr>
                <w:b/>
                <w:bCs/>
              </w:rPr>
              <w:t xml:space="preserve"> </w:t>
            </w:r>
          </w:p>
        </w:tc>
      </w:tr>
    </w:tbl>
    <w:p w14:paraId="0BF0264F" w14:textId="04D08AEC" w:rsidR="00242E82" w:rsidRDefault="00242E82" w:rsidP="002A2FFD"/>
    <w:p w14:paraId="073B612C" w14:textId="77777777" w:rsidR="00242E82" w:rsidRDefault="00242E82"/>
    <w:p w14:paraId="3DFD6D21" w14:textId="77777777" w:rsidR="00242E82" w:rsidRDefault="00242E82"/>
    <w:p w14:paraId="313A4744" w14:textId="77777777" w:rsidR="00CF4EEE" w:rsidRDefault="0049148F" w:rsidP="0049148F">
      <w:pPr>
        <w:pStyle w:val="Heading2"/>
      </w:pPr>
      <w:bookmarkStart w:id="93" w:name="_Appendix_F._Intravenous"/>
      <w:bookmarkStart w:id="94" w:name="_Toc212542310"/>
      <w:bookmarkStart w:id="95" w:name="_Appendix_F._General"/>
      <w:bookmarkEnd w:id="93"/>
      <w:bookmarkEnd w:id="95"/>
      <w:r>
        <w:lastRenderedPageBreak/>
        <w:t>Appendix F. General Intraoperative Insulin Guidelines for Patients with Diabetes</w:t>
      </w:r>
      <w:bookmarkEnd w:id="94"/>
    </w:p>
    <w:tbl>
      <w:tblPr>
        <w:tblStyle w:val="ListTable4-Accent4"/>
        <w:tblW w:w="0" w:type="auto"/>
        <w:tblLayout w:type="fixed"/>
        <w:tblLook w:val="06A0" w:firstRow="1" w:lastRow="0" w:firstColumn="1" w:lastColumn="0" w:noHBand="1" w:noVBand="1"/>
      </w:tblPr>
      <w:tblGrid>
        <w:gridCol w:w="1075"/>
        <w:gridCol w:w="2520"/>
        <w:gridCol w:w="2700"/>
        <w:gridCol w:w="2970"/>
      </w:tblGrid>
      <w:tr w:rsidR="00CF4EEE" w14:paraId="65AC4B36" w14:textId="77777777" w:rsidTr="00734EA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5" w:type="dxa"/>
          </w:tcPr>
          <w:p w14:paraId="23CCCBCE" w14:textId="77777777" w:rsidR="00CF4EEE" w:rsidRDefault="00CF4EEE" w:rsidP="00734EAC"/>
        </w:tc>
        <w:tc>
          <w:tcPr>
            <w:tcW w:w="2520" w:type="dxa"/>
          </w:tcPr>
          <w:p w14:paraId="02B357FC" w14:textId="77777777" w:rsidR="00CF4EEE" w:rsidRDefault="00CF4EEE" w:rsidP="00734EAC">
            <w:pPr>
              <w:cnfStyle w:val="100000000000" w:firstRow="1" w:lastRow="0" w:firstColumn="0" w:lastColumn="0" w:oddVBand="0" w:evenVBand="0" w:oddHBand="0" w:evenHBand="0" w:firstRowFirstColumn="0" w:firstRowLastColumn="0" w:lastRowFirstColumn="0" w:lastRowLastColumn="0"/>
            </w:pPr>
            <w:r>
              <w:t>Patients with type 2 diabetes treated with diet</w:t>
            </w:r>
          </w:p>
        </w:tc>
        <w:tc>
          <w:tcPr>
            <w:tcW w:w="2700" w:type="dxa"/>
          </w:tcPr>
          <w:p w14:paraId="3543103A" w14:textId="77777777" w:rsidR="00CF4EEE" w:rsidRDefault="00CF4EEE" w:rsidP="00734EAC">
            <w:pPr>
              <w:cnfStyle w:val="100000000000" w:firstRow="1" w:lastRow="0" w:firstColumn="0" w:lastColumn="0" w:oddVBand="0" w:evenVBand="0" w:oddHBand="0" w:evenHBand="0" w:firstRowFirstColumn="0" w:firstRowLastColumn="0" w:lastRowFirstColumn="0" w:lastRowLastColumn="0"/>
            </w:pPr>
            <w:r>
              <w:t>Patients with type 2 diabetes treated with oral or noninsulin injectable meds</w:t>
            </w:r>
          </w:p>
        </w:tc>
        <w:tc>
          <w:tcPr>
            <w:tcW w:w="2970" w:type="dxa"/>
          </w:tcPr>
          <w:p w14:paraId="68D244F5" w14:textId="77777777" w:rsidR="00CF4EEE" w:rsidRDefault="00CF4EEE" w:rsidP="00734EAC">
            <w:pPr>
              <w:cnfStyle w:val="100000000000" w:firstRow="1" w:lastRow="0" w:firstColumn="0" w:lastColumn="0" w:oddVBand="0" w:evenVBand="0" w:oddHBand="0" w:evenHBand="0" w:firstRowFirstColumn="0" w:firstRowLastColumn="0" w:lastRowFirstColumn="0" w:lastRowLastColumn="0"/>
            </w:pPr>
            <w:r>
              <w:t xml:space="preserve">Patients with type 1 diabetes or type 2 diabetes treated with insulin </w:t>
            </w:r>
          </w:p>
        </w:tc>
      </w:tr>
      <w:tr w:rsidR="00CF4EEE" w14:paraId="2D2A8806" w14:textId="77777777" w:rsidTr="00734EAC">
        <w:trPr>
          <w:trHeight w:val="1290"/>
        </w:trPr>
        <w:tc>
          <w:tcPr>
            <w:cnfStyle w:val="001000000000" w:firstRow="0" w:lastRow="0" w:firstColumn="1" w:lastColumn="0" w:oddVBand="0" w:evenVBand="0" w:oddHBand="0" w:evenHBand="0" w:firstRowFirstColumn="0" w:firstRowLastColumn="0" w:lastRowFirstColumn="0" w:lastRowLastColumn="0"/>
            <w:tcW w:w="1075" w:type="dxa"/>
          </w:tcPr>
          <w:p w14:paraId="1DCE3926" w14:textId="77777777" w:rsidR="00CF4EEE" w:rsidRDefault="00CF4EEE" w:rsidP="00734EAC">
            <w:r>
              <w:t xml:space="preserve">Short surgery (&lt;2 hours) </w:t>
            </w:r>
          </w:p>
        </w:tc>
        <w:tc>
          <w:tcPr>
            <w:tcW w:w="2520" w:type="dxa"/>
          </w:tcPr>
          <w:p w14:paraId="0B733B2D" w14:textId="77777777" w:rsidR="00CF4EEE" w:rsidRDefault="00CF4EEE" w:rsidP="00734EAC">
            <w:pPr>
              <w:cnfStyle w:val="000000000000" w:firstRow="0" w:lastRow="0" w:firstColumn="0" w:lastColumn="0" w:oddVBand="0" w:evenVBand="0" w:oddHBand="0" w:evenHBand="0" w:firstRowFirstColumn="0" w:firstRowLastColumn="0" w:lastRowFirstColumn="0" w:lastRowLastColumn="0"/>
            </w:pPr>
            <w:r>
              <w:t xml:space="preserve">Check blood glucose intra- and postoperatively. </w:t>
            </w:r>
          </w:p>
        </w:tc>
        <w:tc>
          <w:tcPr>
            <w:tcW w:w="2700" w:type="dxa"/>
          </w:tcPr>
          <w:p w14:paraId="5EB1F50D" w14:textId="77777777" w:rsidR="00CF4EEE" w:rsidRDefault="00CF4EEE" w:rsidP="00734EAC">
            <w:pPr>
              <w:cnfStyle w:val="000000000000" w:firstRow="0" w:lastRow="0" w:firstColumn="0" w:lastColumn="0" w:oddVBand="0" w:evenVBand="0" w:oddHBand="0" w:evenHBand="0" w:firstRowFirstColumn="0" w:firstRowLastColumn="0" w:lastRowFirstColumn="0" w:lastRowLastColumn="0"/>
            </w:pPr>
            <w:r>
              <w:t xml:space="preserve">Monitor every 2 hours – Consider treating with subcutaneous short or rapid acting insulin </w:t>
            </w:r>
          </w:p>
        </w:tc>
        <w:tc>
          <w:tcPr>
            <w:tcW w:w="2970" w:type="dxa"/>
          </w:tcPr>
          <w:p w14:paraId="6C12ED67" w14:textId="77777777" w:rsidR="00CF4EEE" w:rsidRDefault="00CF4EEE" w:rsidP="00734EAC">
            <w:pPr>
              <w:cnfStyle w:val="000000000000" w:firstRow="0" w:lastRow="0" w:firstColumn="0" w:lastColumn="0" w:oddVBand="0" w:evenVBand="0" w:oddHBand="0" w:evenHBand="0" w:firstRowFirstColumn="0" w:firstRowLastColumn="0" w:lastRowFirstColumn="0" w:lastRowLastColumn="0"/>
            </w:pPr>
            <w:r>
              <w:t xml:space="preserve">Generally, </w:t>
            </w:r>
            <w:proofErr w:type="gramStart"/>
            <w:r>
              <w:t>can</w:t>
            </w:r>
            <w:proofErr w:type="gramEnd"/>
            <w:r>
              <w:t xml:space="preserve"> continue with subcutaneous insulin</w:t>
            </w:r>
          </w:p>
        </w:tc>
      </w:tr>
      <w:tr w:rsidR="00CF4EEE" w14:paraId="4256D172" w14:textId="77777777" w:rsidTr="00734EAC">
        <w:trPr>
          <w:trHeight w:val="1905"/>
        </w:trPr>
        <w:tc>
          <w:tcPr>
            <w:cnfStyle w:val="001000000000" w:firstRow="0" w:lastRow="0" w:firstColumn="1" w:lastColumn="0" w:oddVBand="0" w:evenVBand="0" w:oddHBand="0" w:evenHBand="0" w:firstRowFirstColumn="0" w:firstRowLastColumn="0" w:lastRowFirstColumn="0" w:lastRowLastColumn="0"/>
            <w:tcW w:w="1075" w:type="dxa"/>
          </w:tcPr>
          <w:p w14:paraId="53B10E8B" w14:textId="77777777" w:rsidR="00CF4EEE" w:rsidRDefault="00CF4EEE" w:rsidP="00734EAC">
            <w:r>
              <w:t>Long surgery (&gt;/= 2 hours)</w:t>
            </w:r>
          </w:p>
        </w:tc>
        <w:tc>
          <w:tcPr>
            <w:tcW w:w="2520" w:type="dxa"/>
          </w:tcPr>
          <w:p w14:paraId="4A87C575" w14:textId="77777777" w:rsidR="00CF4EEE" w:rsidRDefault="00CF4EEE" w:rsidP="00734EAC">
            <w:pPr>
              <w:cnfStyle w:val="000000000000" w:firstRow="0" w:lastRow="0" w:firstColumn="0" w:lastColumn="0" w:oddVBand="0" w:evenVBand="0" w:oddHBand="0" w:evenHBand="0" w:firstRowFirstColumn="0" w:firstRowLastColumn="0" w:lastRowFirstColumn="0" w:lastRowLastColumn="0"/>
            </w:pPr>
            <w:r>
              <w:t>Check BP every 1-2 hours intraoperatively – consider subcutaneous short or rapid acting insulin</w:t>
            </w:r>
          </w:p>
        </w:tc>
        <w:tc>
          <w:tcPr>
            <w:tcW w:w="2700" w:type="dxa"/>
          </w:tcPr>
          <w:p w14:paraId="55AF06F9" w14:textId="77777777" w:rsidR="00CF4EEE" w:rsidRDefault="00CF4EEE" w:rsidP="00734EAC">
            <w:pPr>
              <w:cnfStyle w:val="000000000000" w:firstRow="0" w:lastRow="0" w:firstColumn="0" w:lastColumn="0" w:oddVBand="0" w:evenVBand="0" w:oddHBand="0" w:evenHBand="0" w:firstRowFirstColumn="0" w:firstRowLastColumn="0" w:lastRowFirstColumn="0" w:lastRowLastColumn="0"/>
            </w:pPr>
            <w:r>
              <w:t>Monitor every 2 hours – consider treating with subcutaneous short or rapid acting insulin</w:t>
            </w:r>
          </w:p>
          <w:p w14:paraId="36AB66C2" w14:textId="77777777" w:rsidR="00CF4EEE" w:rsidRDefault="00CF4EEE" w:rsidP="00734EAC">
            <w:pPr>
              <w:cnfStyle w:val="000000000000" w:firstRow="0" w:lastRow="0" w:firstColumn="0" w:lastColumn="0" w:oddVBand="0" w:evenVBand="0" w:oddHBand="0" w:evenHBand="0" w:firstRowFirstColumn="0" w:firstRowLastColumn="0" w:lastRowFirstColumn="0" w:lastRowLastColumn="0"/>
            </w:pPr>
          </w:p>
        </w:tc>
        <w:tc>
          <w:tcPr>
            <w:tcW w:w="2970" w:type="dxa"/>
          </w:tcPr>
          <w:p w14:paraId="6891F452" w14:textId="77777777" w:rsidR="00CF4EEE" w:rsidRDefault="00CF4EEE" w:rsidP="00734EAC">
            <w:pPr>
              <w:cnfStyle w:val="000000000000" w:firstRow="0" w:lastRow="0" w:firstColumn="0" w:lastColumn="0" w:oddVBand="0" w:evenVBand="0" w:oddHBand="0" w:evenHBand="0" w:firstRowFirstColumn="0" w:firstRowLastColumn="0" w:lastRowFirstColumn="0" w:lastRowLastColumn="0"/>
            </w:pPr>
            <w:r>
              <w:t>Intravenous infusion is often required for long/complex procedures</w:t>
            </w:r>
          </w:p>
        </w:tc>
      </w:tr>
    </w:tbl>
    <w:p w14:paraId="034EA6E7" w14:textId="124D0EB7" w:rsidR="0049148F" w:rsidRDefault="0049148F" w:rsidP="0049148F">
      <w:pPr>
        <w:pStyle w:val="Heading2"/>
      </w:pPr>
      <w:r>
        <w:br w:type="page"/>
      </w:r>
    </w:p>
    <w:p w14:paraId="515F25F1" w14:textId="77936236" w:rsidR="00242E82" w:rsidRDefault="00242E82" w:rsidP="00AC224D">
      <w:pPr>
        <w:pStyle w:val="Heading2"/>
      </w:pPr>
      <w:bookmarkStart w:id="96" w:name="_Toc212542311"/>
      <w:r>
        <w:lastRenderedPageBreak/>
        <w:t>A</w:t>
      </w:r>
      <w:bookmarkStart w:id="97" w:name="_Toc206580475"/>
      <w:r>
        <w:t xml:space="preserve">ppendix </w:t>
      </w:r>
      <w:r w:rsidR="0049148F">
        <w:t>G</w:t>
      </w:r>
      <w:r>
        <w:t xml:space="preserve">. </w:t>
      </w:r>
      <w:r w:rsidR="00AC224D">
        <w:t>Intravenous Iron Formulations</w:t>
      </w:r>
      <w:r w:rsidR="003663AA">
        <w:rPr>
          <w:rFonts w:ascii="ZWAdobeF" w:hAnsi="ZWAdobeF" w:cs="ZWAdobeF"/>
          <w:color w:val="auto"/>
          <w:sz w:val="2"/>
          <w:szCs w:val="2"/>
        </w:rPr>
        <w:t>1F</w:t>
      </w:r>
      <w:r w:rsidR="00AC224D">
        <w:rPr>
          <w:rStyle w:val="FootnoteReference"/>
        </w:rPr>
        <w:footnoteReference w:id="1"/>
      </w:r>
      <w:bookmarkEnd w:id="97"/>
      <w:bookmarkEnd w:id="96"/>
    </w:p>
    <w:tbl>
      <w:tblPr>
        <w:tblStyle w:val="ListTable4-Accent4"/>
        <w:tblW w:w="0" w:type="auto"/>
        <w:tblLook w:val="04A0" w:firstRow="1" w:lastRow="0" w:firstColumn="1" w:lastColumn="0" w:noHBand="0" w:noVBand="1"/>
      </w:tblPr>
      <w:tblGrid>
        <w:gridCol w:w="2155"/>
        <w:gridCol w:w="2250"/>
        <w:gridCol w:w="4590"/>
        <w:gridCol w:w="3955"/>
      </w:tblGrid>
      <w:tr w:rsidR="00242E82" w14:paraId="36347F8A" w14:textId="77777777" w:rsidTr="002F03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4A3F6DB6" w14:textId="77777777" w:rsidR="00242E82" w:rsidRDefault="00242E82">
            <w:r>
              <w:t>Medication</w:t>
            </w:r>
          </w:p>
        </w:tc>
        <w:tc>
          <w:tcPr>
            <w:tcW w:w="2250" w:type="dxa"/>
          </w:tcPr>
          <w:p w14:paraId="7E60ACD0" w14:textId="77777777" w:rsidR="00242E82" w:rsidRDefault="00242E82">
            <w:pPr>
              <w:cnfStyle w:val="100000000000" w:firstRow="1" w:lastRow="0" w:firstColumn="0" w:lastColumn="0" w:oddVBand="0" w:evenVBand="0" w:oddHBand="0" w:evenHBand="0" w:firstRowFirstColumn="0" w:firstRowLastColumn="0" w:lastRowFirstColumn="0" w:lastRowLastColumn="0"/>
            </w:pPr>
            <w:r>
              <w:t>Concentration of Elemental Iron</w:t>
            </w:r>
          </w:p>
        </w:tc>
        <w:tc>
          <w:tcPr>
            <w:tcW w:w="4590" w:type="dxa"/>
          </w:tcPr>
          <w:p w14:paraId="5DD2B5A0" w14:textId="77777777" w:rsidR="00242E82" w:rsidRDefault="00242E82">
            <w:pPr>
              <w:cnfStyle w:val="100000000000" w:firstRow="1" w:lastRow="0" w:firstColumn="0" w:lastColumn="0" w:oddVBand="0" w:evenVBand="0" w:oddHBand="0" w:evenHBand="0" w:firstRowFirstColumn="0" w:firstRowLastColumn="0" w:lastRowFirstColumn="0" w:lastRowLastColumn="0"/>
            </w:pPr>
            <w:r>
              <w:t>Dosing (adults)</w:t>
            </w:r>
          </w:p>
        </w:tc>
        <w:tc>
          <w:tcPr>
            <w:tcW w:w="3955" w:type="dxa"/>
          </w:tcPr>
          <w:p w14:paraId="778EA3F2" w14:textId="77777777" w:rsidR="00242E82" w:rsidRDefault="00242E82">
            <w:pPr>
              <w:cnfStyle w:val="100000000000" w:firstRow="1" w:lastRow="0" w:firstColumn="0" w:lastColumn="0" w:oddVBand="0" w:evenVBand="0" w:oddHBand="0" w:evenHBand="0" w:firstRowFirstColumn="0" w:firstRowLastColumn="0" w:lastRowFirstColumn="0" w:lastRowLastColumn="0"/>
            </w:pPr>
            <w:r>
              <w:t>Premedication</w:t>
            </w:r>
          </w:p>
        </w:tc>
      </w:tr>
      <w:tr w:rsidR="00242E82" w14:paraId="4079209C" w14:textId="77777777" w:rsidTr="002F0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170D9818" w14:textId="77777777" w:rsidR="00242E82" w:rsidRDefault="00242E82">
            <w:r>
              <w:t xml:space="preserve">Ferric </w:t>
            </w:r>
            <w:proofErr w:type="spellStart"/>
            <w:r>
              <w:t>Carboxymaltose</w:t>
            </w:r>
            <w:proofErr w:type="spellEnd"/>
            <w:r>
              <w:t xml:space="preserve"> (FCM)</w:t>
            </w:r>
          </w:p>
        </w:tc>
        <w:tc>
          <w:tcPr>
            <w:tcW w:w="2250" w:type="dxa"/>
          </w:tcPr>
          <w:p w14:paraId="7F9084B7" w14:textId="77777777" w:rsidR="00242E82" w:rsidRDefault="00242E82">
            <w:pPr>
              <w:cnfStyle w:val="000000100000" w:firstRow="0" w:lastRow="0" w:firstColumn="0" w:lastColumn="0" w:oddVBand="0" w:evenVBand="0" w:oddHBand="1" w:evenHBand="0" w:firstRowFirstColumn="0" w:firstRowLastColumn="0" w:lastRowFirstColumn="0" w:lastRowLastColumn="0"/>
            </w:pPr>
            <w:r>
              <w:t>50 mg/mL</w:t>
            </w:r>
          </w:p>
        </w:tc>
        <w:tc>
          <w:tcPr>
            <w:tcW w:w="4590" w:type="dxa"/>
          </w:tcPr>
          <w:p w14:paraId="664062EE" w14:textId="77777777" w:rsidR="00242E82" w:rsidRDefault="00242E82">
            <w:pPr>
              <w:cnfStyle w:val="000000100000" w:firstRow="0" w:lastRow="0" w:firstColumn="0" w:lastColumn="0" w:oddVBand="0" w:evenVBand="0" w:oddHBand="1" w:evenHBand="0" w:firstRowFirstColumn="0" w:firstRowLastColumn="0" w:lastRowFirstColumn="0" w:lastRowLastColumn="0"/>
            </w:pPr>
            <w:r>
              <w:t>Weight ≥50 kg: 1 or 2 doses of 750 mg, given 7 or more days apart</w:t>
            </w:r>
          </w:p>
          <w:p w14:paraId="4F202771" w14:textId="77777777" w:rsidR="00242E82" w:rsidRDefault="00242E82">
            <w:pPr>
              <w:cnfStyle w:val="000000100000" w:firstRow="0" w:lastRow="0" w:firstColumn="0" w:lastColumn="0" w:oddVBand="0" w:evenVBand="0" w:oddHBand="1" w:evenHBand="0" w:firstRowFirstColumn="0" w:firstRowLastColumn="0" w:lastRowFirstColumn="0" w:lastRowLastColumn="0"/>
            </w:pPr>
            <w:r>
              <w:t>or</w:t>
            </w:r>
          </w:p>
          <w:p w14:paraId="1F95F1DE" w14:textId="77777777" w:rsidR="00242E82" w:rsidRDefault="00242E82">
            <w:pPr>
              <w:cnfStyle w:val="000000100000" w:firstRow="0" w:lastRow="0" w:firstColumn="0" w:lastColumn="0" w:oddVBand="0" w:evenVBand="0" w:oddHBand="1" w:evenHBand="0" w:firstRowFirstColumn="0" w:firstRowLastColumn="0" w:lastRowFirstColumn="0" w:lastRowLastColumn="0"/>
            </w:pPr>
            <w:r>
              <w:t>Weight &lt;50 kg: 1 or 2 doses of 15 mg/kg, given 7 or more days apart</w:t>
            </w:r>
          </w:p>
        </w:tc>
        <w:tc>
          <w:tcPr>
            <w:tcW w:w="3955" w:type="dxa"/>
            <w:vMerge w:val="restart"/>
          </w:tcPr>
          <w:p w14:paraId="566CA6FE" w14:textId="77777777" w:rsidR="00242E82" w:rsidRDefault="00242E82">
            <w:pPr>
              <w:pStyle w:val="ListParagraph"/>
              <w:numPr>
                <w:ilvl w:val="0"/>
                <w:numId w:val="21"/>
              </w:numPr>
              <w:cnfStyle w:val="000000100000" w:firstRow="0" w:lastRow="0" w:firstColumn="0" w:lastColumn="0" w:oddVBand="0" w:evenVBand="0" w:oddHBand="1" w:evenHBand="0" w:firstRowFirstColumn="0" w:firstRowLastColumn="0" w:lastRowFirstColumn="0" w:lastRowLastColumn="0"/>
            </w:pPr>
            <w:r>
              <w:t>Do not routinely premedicate for any of the IV iron products.</w:t>
            </w:r>
          </w:p>
          <w:p w14:paraId="214F33D8" w14:textId="77777777" w:rsidR="00242E82" w:rsidRDefault="00242E82">
            <w:pPr>
              <w:pStyle w:val="ListParagraph"/>
              <w:numPr>
                <w:ilvl w:val="0"/>
                <w:numId w:val="21"/>
              </w:numPr>
              <w:cnfStyle w:val="000000100000" w:firstRow="0" w:lastRow="0" w:firstColumn="0" w:lastColumn="0" w:oddVBand="0" w:evenVBand="0" w:oddHBand="1" w:evenHBand="0" w:firstRowFirstColumn="0" w:firstRowLastColumn="0" w:lastRowFirstColumn="0" w:lastRowLastColumn="0"/>
            </w:pPr>
            <w:r>
              <w:t xml:space="preserve">For patients with asthma or multiple drug allergies, </w:t>
            </w:r>
            <w:proofErr w:type="gramStart"/>
            <w:r>
              <w:t>often</w:t>
            </w:r>
            <w:proofErr w:type="gramEnd"/>
            <w:r>
              <w:t xml:space="preserve"> give methylprednisolone and a histamine 2 (H2) receptor blocker prior to the iron infusion.</w:t>
            </w:r>
          </w:p>
          <w:p w14:paraId="7684A993" w14:textId="77777777" w:rsidR="00242E82" w:rsidRDefault="00242E82">
            <w:pPr>
              <w:pStyle w:val="ListParagraph"/>
              <w:numPr>
                <w:ilvl w:val="0"/>
                <w:numId w:val="21"/>
              </w:numPr>
              <w:cnfStyle w:val="000000100000" w:firstRow="0" w:lastRow="0" w:firstColumn="0" w:lastColumn="0" w:oddVBand="0" w:evenVBand="0" w:oddHBand="1" w:evenHBand="0" w:firstRowFirstColumn="0" w:firstRowLastColumn="0" w:lastRowFirstColumn="0" w:lastRowLastColumn="0"/>
            </w:pPr>
            <w:r>
              <w:t xml:space="preserve">For patients with inflammatory arthritis, </w:t>
            </w:r>
            <w:proofErr w:type="gramStart"/>
            <w:r>
              <w:t>often</w:t>
            </w:r>
            <w:proofErr w:type="gramEnd"/>
            <w:r>
              <w:t xml:space="preserve"> give methylprednisolone followed by a brief course of oral prednisone.</w:t>
            </w:r>
          </w:p>
          <w:p w14:paraId="5A6A70E0" w14:textId="77777777" w:rsidR="00242E82" w:rsidRDefault="00242E82">
            <w:pPr>
              <w:pStyle w:val="ListParagraph"/>
              <w:numPr>
                <w:ilvl w:val="0"/>
                <w:numId w:val="21"/>
              </w:numPr>
              <w:cnfStyle w:val="000000100000" w:firstRow="0" w:lastRow="0" w:firstColumn="0" w:lastColumn="0" w:oddVBand="0" w:evenVBand="0" w:oddHBand="1" w:evenHBand="0" w:firstRowFirstColumn="0" w:firstRowLastColumn="0" w:lastRowFirstColumn="0" w:lastRowLastColumn="0"/>
            </w:pPr>
            <w:r>
              <w:t>Do not give diphenhydramine as a premedication.</w:t>
            </w:r>
          </w:p>
        </w:tc>
      </w:tr>
      <w:tr w:rsidR="00242E82" w14:paraId="5D25E0FF" w14:textId="77777777" w:rsidTr="002F03E6">
        <w:tc>
          <w:tcPr>
            <w:cnfStyle w:val="001000000000" w:firstRow="0" w:lastRow="0" w:firstColumn="1" w:lastColumn="0" w:oddVBand="0" w:evenVBand="0" w:oddHBand="0" w:evenHBand="0" w:firstRowFirstColumn="0" w:firstRowLastColumn="0" w:lastRowFirstColumn="0" w:lastRowLastColumn="0"/>
            <w:tcW w:w="2155" w:type="dxa"/>
          </w:tcPr>
          <w:p w14:paraId="01E4D558" w14:textId="77777777" w:rsidR="00242E82" w:rsidRDefault="00242E82">
            <w:r>
              <w:t xml:space="preserve">Ferric </w:t>
            </w:r>
            <w:proofErr w:type="spellStart"/>
            <w:r>
              <w:t>derisomaltose</w:t>
            </w:r>
            <w:proofErr w:type="spellEnd"/>
            <w:r>
              <w:t xml:space="preserve"> (previously called iron </w:t>
            </w:r>
            <w:proofErr w:type="spellStart"/>
            <w:r>
              <w:t>isomaltoside</w:t>
            </w:r>
            <w:proofErr w:type="spellEnd"/>
            <w:r>
              <w:t>)</w:t>
            </w:r>
          </w:p>
        </w:tc>
        <w:tc>
          <w:tcPr>
            <w:tcW w:w="2250" w:type="dxa"/>
          </w:tcPr>
          <w:p w14:paraId="42D94E2F" w14:textId="77777777" w:rsidR="00242E82" w:rsidRDefault="00242E82">
            <w:pPr>
              <w:cnfStyle w:val="000000000000" w:firstRow="0" w:lastRow="0" w:firstColumn="0" w:lastColumn="0" w:oddVBand="0" w:evenVBand="0" w:oddHBand="0" w:evenHBand="0" w:firstRowFirstColumn="0" w:firstRowLastColumn="0" w:lastRowFirstColumn="0" w:lastRowLastColumn="0"/>
            </w:pPr>
            <w:r>
              <w:t>100 mg/mL</w:t>
            </w:r>
          </w:p>
        </w:tc>
        <w:tc>
          <w:tcPr>
            <w:tcW w:w="4590" w:type="dxa"/>
          </w:tcPr>
          <w:p w14:paraId="25994A47" w14:textId="77777777" w:rsidR="00242E82" w:rsidRPr="00FA178D" w:rsidRDefault="00242E82">
            <w:pPr>
              <w:cnfStyle w:val="000000000000" w:firstRow="0" w:lastRow="0" w:firstColumn="0" w:lastColumn="0" w:oddVBand="0" w:evenVBand="0" w:oddHBand="0" w:evenHBand="0" w:firstRowFirstColumn="0" w:firstRowLastColumn="0" w:lastRowFirstColumn="0" w:lastRowLastColumn="0"/>
            </w:pPr>
            <w:r w:rsidRPr="00FA178D">
              <w:t>Weight ≥50 kg: Single dose of 1000 mg</w:t>
            </w:r>
          </w:p>
          <w:p w14:paraId="04C3512D" w14:textId="77777777" w:rsidR="00242E82" w:rsidRPr="00FA178D" w:rsidRDefault="00242E82">
            <w:pPr>
              <w:cnfStyle w:val="000000000000" w:firstRow="0" w:lastRow="0" w:firstColumn="0" w:lastColumn="0" w:oddVBand="0" w:evenVBand="0" w:oddHBand="0" w:evenHBand="0" w:firstRowFirstColumn="0" w:firstRowLastColumn="0" w:lastRowFirstColumn="0" w:lastRowLastColumn="0"/>
            </w:pPr>
            <w:r w:rsidRPr="00FA178D">
              <w:rPr>
                <w:b/>
                <w:bCs/>
              </w:rPr>
              <w:t>or</w:t>
            </w:r>
          </w:p>
          <w:p w14:paraId="540DD47B" w14:textId="77777777" w:rsidR="00242E82" w:rsidRPr="00FA178D" w:rsidRDefault="00242E82">
            <w:pPr>
              <w:cnfStyle w:val="000000000000" w:firstRow="0" w:lastRow="0" w:firstColumn="0" w:lastColumn="0" w:oddVBand="0" w:evenVBand="0" w:oddHBand="0" w:evenHBand="0" w:firstRowFirstColumn="0" w:firstRowLastColumn="0" w:lastRowFirstColumn="0" w:lastRowLastColumn="0"/>
            </w:pPr>
            <w:r w:rsidRPr="00FA178D">
              <w:t>Weight ≥50 kg: Up to 3 doses of 500 mg given over 7 days</w:t>
            </w:r>
          </w:p>
          <w:p w14:paraId="319D682C" w14:textId="77777777" w:rsidR="00242E82" w:rsidRPr="00FA178D" w:rsidRDefault="00242E82">
            <w:pPr>
              <w:cnfStyle w:val="000000000000" w:firstRow="0" w:lastRow="0" w:firstColumn="0" w:lastColumn="0" w:oddVBand="0" w:evenVBand="0" w:oddHBand="0" w:evenHBand="0" w:firstRowFirstColumn="0" w:firstRowLastColumn="0" w:lastRowFirstColumn="0" w:lastRowLastColumn="0"/>
            </w:pPr>
            <w:r w:rsidRPr="00FA178D">
              <w:rPr>
                <w:b/>
                <w:bCs/>
              </w:rPr>
              <w:t>or</w:t>
            </w:r>
          </w:p>
          <w:p w14:paraId="7EB232A0" w14:textId="77777777" w:rsidR="00242E82" w:rsidRPr="00FA178D" w:rsidRDefault="00242E82">
            <w:pPr>
              <w:cnfStyle w:val="000000000000" w:firstRow="0" w:lastRow="0" w:firstColumn="0" w:lastColumn="0" w:oddVBand="0" w:evenVBand="0" w:oddHBand="0" w:evenHBand="0" w:firstRowFirstColumn="0" w:firstRowLastColumn="0" w:lastRowFirstColumn="0" w:lastRowLastColumn="0"/>
            </w:pPr>
            <w:r w:rsidRPr="00FA178D">
              <w:t>Weight &lt;50 kg: Single dose of 20 mg/kg</w:t>
            </w:r>
          </w:p>
          <w:p w14:paraId="154D31BE" w14:textId="77777777" w:rsidR="00242E82" w:rsidRDefault="00242E82">
            <w:pPr>
              <w:cnfStyle w:val="000000000000" w:firstRow="0" w:lastRow="0" w:firstColumn="0" w:lastColumn="0" w:oddVBand="0" w:evenVBand="0" w:oddHBand="0" w:evenHBand="0" w:firstRowFirstColumn="0" w:firstRowLastColumn="0" w:lastRowFirstColumn="0" w:lastRowLastColumn="0"/>
            </w:pPr>
          </w:p>
        </w:tc>
        <w:tc>
          <w:tcPr>
            <w:tcW w:w="3955" w:type="dxa"/>
            <w:vMerge/>
          </w:tcPr>
          <w:p w14:paraId="4D7A0530" w14:textId="77777777" w:rsidR="00242E82" w:rsidRDefault="00242E82">
            <w:pPr>
              <w:cnfStyle w:val="000000000000" w:firstRow="0" w:lastRow="0" w:firstColumn="0" w:lastColumn="0" w:oddVBand="0" w:evenVBand="0" w:oddHBand="0" w:evenHBand="0" w:firstRowFirstColumn="0" w:firstRowLastColumn="0" w:lastRowFirstColumn="0" w:lastRowLastColumn="0"/>
            </w:pPr>
          </w:p>
        </w:tc>
      </w:tr>
      <w:tr w:rsidR="00242E82" w14:paraId="568344A6" w14:textId="77777777" w:rsidTr="002F0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11357952" w14:textId="77777777" w:rsidR="00242E82" w:rsidRDefault="00242E82">
            <w:r>
              <w:t>Ferric gluconate</w:t>
            </w:r>
          </w:p>
        </w:tc>
        <w:tc>
          <w:tcPr>
            <w:tcW w:w="2250" w:type="dxa"/>
          </w:tcPr>
          <w:p w14:paraId="4B7BFABB" w14:textId="77777777" w:rsidR="00242E82" w:rsidRDefault="00242E82">
            <w:pPr>
              <w:cnfStyle w:val="000000100000" w:firstRow="0" w:lastRow="0" w:firstColumn="0" w:lastColumn="0" w:oddVBand="0" w:evenVBand="0" w:oddHBand="1" w:evenHBand="0" w:firstRowFirstColumn="0" w:firstRowLastColumn="0" w:lastRowFirstColumn="0" w:lastRowLastColumn="0"/>
            </w:pPr>
            <w:r>
              <w:t>12.5 mg/mL</w:t>
            </w:r>
          </w:p>
        </w:tc>
        <w:tc>
          <w:tcPr>
            <w:tcW w:w="4590" w:type="dxa"/>
          </w:tcPr>
          <w:p w14:paraId="6E4EBDC2" w14:textId="77777777" w:rsidR="00242E82" w:rsidRPr="00705B20" w:rsidRDefault="00242E82">
            <w:pPr>
              <w:cnfStyle w:val="000000100000" w:firstRow="0" w:lastRow="0" w:firstColumn="0" w:lastColumn="0" w:oddVBand="0" w:evenVBand="0" w:oddHBand="1" w:evenHBand="0" w:firstRowFirstColumn="0" w:firstRowLastColumn="0" w:lastRowFirstColumn="0" w:lastRowLastColumn="0"/>
            </w:pPr>
            <w:r w:rsidRPr="00705B20">
              <w:t>Multiple doses of 125 to 250 mg</w:t>
            </w:r>
          </w:p>
          <w:p w14:paraId="5DD2B5E8" w14:textId="77777777" w:rsidR="00242E82" w:rsidRPr="00FA178D" w:rsidRDefault="00242E82">
            <w:pPr>
              <w:ind w:left="360"/>
              <w:cnfStyle w:val="000000100000" w:firstRow="0" w:lastRow="0" w:firstColumn="0" w:lastColumn="0" w:oddVBand="0" w:evenVBand="0" w:oddHBand="1" w:evenHBand="0" w:firstRowFirstColumn="0" w:firstRowLastColumn="0" w:lastRowFirstColumn="0" w:lastRowLastColumn="0"/>
            </w:pPr>
          </w:p>
        </w:tc>
        <w:tc>
          <w:tcPr>
            <w:tcW w:w="3955" w:type="dxa"/>
            <w:vMerge/>
          </w:tcPr>
          <w:p w14:paraId="77997DFD" w14:textId="77777777" w:rsidR="00242E82" w:rsidRDefault="00242E82">
            <w:pPr>
              <w:cnfStyle w:val="000000100000" w:firstRow="0" w:lastRow="0" w:firstColumn="0" w:lastColumn="0" w:oddVBand="0" w:evenVBand="0" w:oddHBand="1" w:evenHBand="0" w:firstRowFirstColumn="0" w:firstRowLastColumn="0" w:lastRowFirstColumn="0" w:lastRowLastColumn="0"/>
            </w:pPr>
          </w:p>
        </w:tc>
      </w:tr>
      <w:tr w:rsidR="00242E82" w14:paraId="0C3413F0" w14:textId="77777777" w:rsidTr="002F03E6">
        <w:tc>
          <w:tcPr>
            <w:cnfStyle w:val="001000000000" w:firstRow="0" w:lastRow="0" w:firstColumn="1" w:lastColumn="0" w:oddVBand="0" w:evenVBand="0" w:oddHBand="0" w:evenHBand="0" w:firstRowFirstColumn="0" w:firstRowLastColumn="0" w:lastRowFirstColumn="0" w:lastRowLastColumn="0"/>
            <w:tcW w:w="2155" w:type="dxa"/>
          </w:tcPr>
          <w:p w14:paraId="04ED8A52" w14:textId="77777777" w:rsidR="00242E82" w:rsidRDefault="00242E82">
            <w:proofErr w:type="spellStart"/>
            <w:r>
              <w:t>Ferrumoxytol</w:t>
            </w:r>
            <w:proofErr w:type="spellEnd"/>
          </w:p>
        </w:tc>
        <w:tc>
          <w:tcPr>
            <w:tcW w:w="2250" w:type="dxa"/>
          </w:tcPr>
          <w:p w14:paraId="27E0227D" w14:textId="77777777" w:rsidR="00242E82" w:rsidRDefault="00242E82">
            <w:pPr>
              <w:cnfStyle w:val="000000000000" w:firstRow="0" w:lastRow="0" w:firstColumn="0" w:lastColumn="0" w:oddVBand="0" w:evenVBand="0" w:oddHBand="0" w:evenHBand="0" w:firstRowFirstColumn="0" w:firstRowLastColumn="0" w:lastRowFirstColumn="0" w:lastRowLastColumn="0"/>
            </w:pPr>
            <w:r>
              <w:t>30 mg/mL</w:t>
            </w:r>
          </w:p>
        </w:tc>
        <w:tc>
          <w:tcPr>
            <w:tcW w:w="4590" w:type="dxa"/>
          </w:tcPr>
          <w:p w14:paraId="5C97DFD0" w14:textId="77777777" w:rsidR="00242E82" w:rsidRDefault="00242E82">
            <w:pPr>
              <w:cnfStyle w:val="000000000000" w:firstRow="0" w:lastRow="0" w:firstColumn="0" w:lastColumn="0" w:oddVBand="0" w:evenVBand="0" w:oddHBand="0" w:evenHBand="0" w:firstRowFirstColumn="0" w:firstRowLastColumn="0" w:lastRowFirstColumn="0" w:lastRowLastColumn="0"/>
            </w:pPr>
            <w:r>
              <w:t>Single dose of 1020 mg</w:t>
            </w:r>
          </w:p>
          <w:p w14:paraId="49721690" w14:textId="77777777" w:rsidR="00242E82" w:rsidRPr="00705B20" w:rsidRDefault="00242E82">
            <w:pPr>
              <w:cnfStyle w:val="000000000000" w:firstRow="0" w:lastRow="0" w:firstColumn="0" w:lastColumn="0" w:oddVBand="0" w:evenVBand="0" w:oddHBand="0" w:evenHBand="0" w:firstRowFirstColumn="0" w:firstRowLastColumn="0" w:lastRowFirstColumn="0" w:lastRowLastColumn="0"/>
              <w:rPr>
                <w:b/>
                <w:bCs/>
              </w:rPr>
            </w:pPr>
            <w:r w:rsidRPr="00705B20">
              <w:rPr>
                <w:b/>
                <w:bCs/>
              </w:rPr>
              <w:t>or</w:t>
            </w:r>
          </w:p>
          <w:p w14:paraId="38D870A6" w14:textId="77777777" w:rsidR="00242E82" w:rsidRPr="00705B20" w:rsidRDefault="00242E82">
            <w:pPr>
              <w:cnfStyle w:val="000000000000" w:firstRow="0" w:lastRow="0" w:firstColumn="0" w:lastColumn="0" w:oddVBand="0" w:evenVBand="0" w:oddHBand="0" w:evenHBand="0" w:firstRowFirstColumn="0" w:firstRowLastColumn="0" w:lastRowFirstColumn="0" w:lastRowLastColumn="0"/>
            </w:pPr>
            <w:r>
              <w:t>2 doses of 510 mg, given 3 to 8 days apart</w:t>
            </w:r>
          </w:p>
        </w:tc>
        <w:tc>
          <w:tcPr>
            <w:tcW w:w="3955" w:type="dxa"/>
            <w:vMerge/>
          </w:tcPr>
          <w:p w14:paraId="62665E14" w14:textId="77777777" w:rsidR="00242E82" w:rsidRDefault="00242E82">
            <w:pPr>
              <w:cnfStyle w:val="000000000000" w:firstRow="0" w:lastRow="0" w:firstColumn="0" w:lastColumn="0" w:oddVBand="0" w:evenVBand="0" w:oddHBand="0" w:evenHBand="0" w:firstRowFirstColumn="0" w:firstRowLastColumn="0" w:lastRowFirstColumn="0" w:lastRowLastColumn="0"/>
            </w:pPr>
          </w:p>
        </w:tc>
      </w:tr>
      <w:tr w:rsidR="00242E82" w14:paraId="4973383E" w14:textId="77777777" w:rsidTr="002F0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44ED9C87" w14:textId="77777777" w:rsidR="00242E82" w:rsidRDefault="00242E82">
            <w:r>
              <w:t>Iron Dextran, low molecular weight  (LMW)</w:t>
            </w:r>
          </w:p>
        </w:tc>
        <w:tc>
          <w:tcPr>
            <w:tcW w:w="2250" w:type="dxa"/>
          </w:tcPr>
          <w:p w14:paraId="6A9AC5AD" w14:textId="77777777" w:rsidR="00242E82" w:rsidRDefault="00242E82">
            <w:pPr>
              <w:cnfStyle w:val="000000100000" w:firstRow="0" w:lastRow="0" w:firstColumn="0" w:lastColumn="0" w:oddVBand="0" w:evenVBand="0" w:oddHBand="1" w:evenHBand="0" w:firstRowFirstColumn="0" w:firstRowLastColumn="0" w:lastRowFirstColumn="0" w:lastRowLastColumn="0"/>
            </w:pPr>
            <w:r>
              <w:t>50 mg/mL</w:t>
            </w:r>
          </w:p>
        </w:tc>
        <w:tc>
          <w:tcPr>
            <w:tcW w:w="4590" w:type="dxa"/>
          </w:tcPr>
          <w:p w14:paraId="4E9E677F" w14:textId="77777777" w:rsidR="00242E82" w:rsidRDefault="00242E82">
            <w:pPr>
              <w:cnfStyle w:val="000000100000" w:firstRow="0" w:lastRow="0" w:firstColumn="0" w:lastColumn="0" w:oddVBand="0" w:evenVBand="0" w:oddHBand="1" w:evenHBand="0" w:firstRowFirstColumn="0" w:firstRowLastColumn="0" w:lastRowFirstColumn="0" w:lastRowLastColumn="0"/>
            </w:pPr>
            <w:r>
              <w:t>Single dose of 1000 mg (diluted in 250 mL normal saline) given over 1 hour</w:t>
            </w:r>
          </w:p>
          <w:p w14:paraId="2DF55153" w14:textId="77777777" w:rsidR="00242E82" w:rsidRPr="002D2EC4" w:rsidRDefault="00242E82">
            <w:pPr>
              <w:cnfStyle w:val="000000100000" w:firstRow="0" w:lastRow="0" w:firstColumn="0" w:lastColumn="0" w:oddVBand="0" w:evenVBand="0" w:oddHBand="1" w:evenHBand="0" w:firstRowFirstColumn="0" w:firstRowLastColumn="0" w:lastRowFirstColumn="0" w:lastRowLastColumn="0"/>
              <w:rPr>
                <w:b/>
                <w:bCs/>
              </w:rPr>
            </w:pPr>
            <w:r w:rsidRPr="002D2EC4">
              <w:rPr>
                <w:b/>
                <w:bCs/>
              </w:rPr>
              <w:t>or</w:t>
            </w:r>
          </w:p>
          <w:p w14:paraId="373D9CFE" w14:textId="77777777" w:rsidR="00242E82" w:rsidRDefault="00242E82">
            <w:pPr>
              <w:cnfStyle w:val="000000100000" w:firstRow="0" w:lastRow="0" w:firstColumn="0" w:lastColumn="0" w:oddVBand="0" w:evenVBand="0" w:oddHBand="1" w:evenHBand="0" w:firstRowFirstColumn="0" w:firstRowLastColumn="0" w:lastRowFirstColumn="0" w:lastRowLastColumn="0"/>
            </w:pPr>
            <w:r>
              <w:t>Multiple doses of 100 mg</w:t>
            </w:r>
          </w:p>
        </w:tc>
        <w:tc>
          <w:tcPr>
            <w:tcW w:w="3955" w:type="dxa"/>
            <w:vMerge/>
          </w:tcPr>
          <w:p w14:paraId="51BC8CD2" w14:textId="77777777" w:rsidR="00242E82" w:rsidRDefault="00242E82">
            <w:pPr>
              <w:cnfStyle w:val="000000100000" w:firstRow="0" w:lastRow="0" w:firstColumn="0" w:lastColumn="0" w:oddVBand="0" w:evenVBand="0" w:oddHBand="1" w:evenHBand="0" w:firstRowFirstColumn="0" w:firstRowLastColumn="0" w:lastRowFirstColumn="0" w:lastRowLastColumn="0"/>
            </w:pPr>
          </w:p>
        </w:tc>
      </w:tr>
      <w:tr w:rsidR="00242E82" w14:paraId="5C392DEC" w14:textId="77777777" w:rsidTr="002F03E6">
        <w:tc>
          <w:tcPr>
            <w:cnfStyle w:val="001000000000" w:firstRow="0" w:lastRow="0" w:firstColumn="1" w:lastColumn="0" w:oddVBand="0" w:evenVBand="0" w:oddHBand="0" w:evenHBand="0" w:firstRowFirstColumn="0" w:firstRowLastColumn="0" w:lastRowFirstColumn="0" w:lastRowLastColumn="0"/>
            <w:tcW w:w="2155" w:type="dxa"/>
          </w:tcPr>
          <w:p w14:paraId="64418833" w14:textId="77777777" w:rsidR="00242E82" w:rsidRDefault="00242E82">
            <w:r>
              <w:t>Iron sucrose</w:t>
            </w:r>
          </w:p>
        </w:tc>
        <w:tc>
          <w:tcPr>
            <w:tcW w:w="2250" w:type="dxa"/>
          </w:tcPr>
          <w:p w14:paraId="4112F906" w14:textId="77777777" w:rsidR="00242E82" w:rsidRDefault="00242E82">
            <w:pPr>
              <w:cnfStyle w:val="000000000000" w:firstRow="0" w:lastRow="0" w:firstColumn="0" w:lastColumn="0" w:oddVBand="0" w:evenVBand="0" w:oddHBand="0" w:evenHBand="0" w:firstRowFirstColumn="0" w:firstRowLastColumn="0" w:lastRowFirstColumn="0" w:lastRowLastColumn="0"/>
            </w:pPr>
            <w:r>
              <w:t>20 mg/mL</w:t>
            </w:r>
          </w:p>
        </w:tc>
        <w:tc>
          <w:tcPr>
            <w:tcW w:w="4590" w:type="dxa"/>
          </w:tcPr>
          <w:p w14:paraId="0FE8359F" w14:textId="77777777" w:rsidR="00242E82" w:rsidRDefault="00242E82">
            <w:pPr>
              <w:cnfStyle w:val="000000000000" w:firstRow="0" w:lastRow="0" w:firstColumn="0" w:lastColumn="0" w:oddVBand="0" w:evenVBand="0" w:oddHBand="0" w:evenHBand="0" w:firstRowFirstColumn="0" w:firstRowLastColumn="0" w:lastRowFirstColumn="0" w:lastRowLastColumn="0"/>
            </w:pPr>
            <w:r w:rsidRPr="002D2EC4">
              <w:t>Multiple doses of 100 to 300 mg</w:t>
            </w:r>
          </w:p>
        </w:tc>
        <w:tc>
          <w:tcPr>
            <w:tcW w:w="3955" w:type="dxa"/>
            <w:vMerge/>
          </w:tcPr>
          <w:p w14:paraId="5A5DD174" w14:textId="77777777" w:rsidR="00242E82" w:rsidRDefault="00242E82">
            <w:pPr>
              <w:cnfStyle w:val="000000000000" w:firstRow="0" w:lastRow="0" w:firstColumn="0" w:lastColumn="0" w:oddVBand="0" w:evenVBand="0" w:oddHBand="0" w:evenHBand="0" w:firstRowFirstColumn="0" w:firstRowLastColumn="0" w:lastRowFirstColumn="0" w:lastRowLastColumn="0"/>
            </w:pPr>
          </w:p>
        </w:tc>
      </w:tr>
    </w:tbl>
    <w:p w14:paraId="3E1CF5E7" w14:textId="77777777" w:rsidR="00BC3A96" w:rsidRDefault="00242E82">
      <w:pPr>
        <w:sectPr w:rsidR="00BC3A96" w:rsidSect="000421DD">
          <w:pgSz w:w="15840" w:h="12240" w:orient="landscape"/>
          <w:pgMar w:top="1440" w:right="1440" w:bottom="1440" w:left="1440" w:header="720" w:footer="720" w:gutter="0"/>
          <w:cols w:space="720"/>
          <w:titlePg/>
          <w:docGrid w:linePitch="360"/>
        </w:sectPr>
      </w:pPr>
      <w:r>
        <w:br w:type="page"/>
      </w:r>
    </w:p>
    <w:p w14:paraId="4F6E4125" w14:textId="7508054F" w:rsidR="00242E82" w:rsidRDefault="00BC3A96" w:rsidP="00BC3A96">
      <w:pPr>
        <w:pStyle w:val="Heading2"/>
      </w:pPr>
      <w:bookmarkStart w:id="98" w:name="_Toc212542312"/>
      <w:r>
        <w:lastRenderedPageBreak/>
        <w:t xml:space="preserve">Appendix </w:t>
      </w:r>
      <w:r w:rsidR="0049148F">
        <w:t>H</w:t>
      </w:r>
      <w:r>
        <w:t>. Anemia Optimization Workflow</w:t>
      </w:r>
      <w:r w:rsidR="00AA6566">
        <w:t xml:space="preserve"> Example</w:t>
      </w:r>
      <w:bookmarkEnd w:id="98"/>
    </w:p>
    <w:p w14:paraId="4C0F5F87" w14:textId="471A396A" w:rsidR="002A2FFD" w:rsidRDefault="00BC3A96" w:rsidP="002A2FFD">
      <w:r>
        <w:rPr>
          <w:noProof/>
        </w:rPr>
        <w:drawing>
          <wp:inline distT="0" distB="0" distL="0" distR="0" wp14:anchorId="54197791" wp14:editId="2CADD098">
            <wp:extent cx="8229600" cy="4716780"/>
            <wp:effectExtent l="0" t="0" r="0" b="7620"/>
            <wp:docPr id="1835939813" name="Picture 9"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939813" name="Picture 9" descr="A diagram of a company&#10;&#10;AI-generated content may be incorrect."/>
                    <pic:cNvPicPr/>
                  </pic:nvPicPr>
                  <pic:blipFill>
                    <a:blip r:embed="rId40">
                      <a:extLst>
                        <a:ext uri="{28A0092B-C50C-407E-A947-70E740481C1C}">
                          <a14:useLocalDpi xmlns:a14="http://schemas.microsoft.com/office/drawing/2010/main" val="0"/>
                        </a:ext>
                      </a:extLst>
                    </a:blip>
                    <a:stretch>
                      <a:fillRect/>
                    </a:stretch>
                  </pic:blipFill>
                  <pic:spPr>
                    <a:xfrm>
                      <a:off x="0" y="0"/>
                      <a:ext cx="8229600" cy="4716780"/>
                    </a:xfrm>
                    <a:prstGeom prst="rect">
                      <a:avLst/>
                    </a:prstGeom>
                  </pic:spPr>
                </pic:pic>
              </a:graphicData>
            </a:graphic>
          </wp:inline>
        </w:drawing>
      </w:r>
    </w:p>
    <w:p w14:paraId="55345D8C" w14:textId="77777777" w:rsidR="00BC3A96" w:rsidRDefault="00BC3A96" w:rsidP="002A2FFD"/>
    <w:p w14:paraId="71E32B69" w14:textId="77777777" w:rsidR="00BC3A96" w:rsidRDefault="00BC3A96">
      <w:pPr>
        <w:sectPr w:rsidR="00BC3A96" w:rsidSect="000421DD">
          <w:pgSz w:w="15840" w:h="12240" w:orient="landscape"/>
          <w:pgMar w:top="1440" w:right="1440" w:bottom="1440" w:left="1440" w:header="720" w:footer="720" w:gutter="0"/>
          <w:cols w:space="720"/>
          <w:titlePg/>
          <w:docGrid w:linePitch="360"/>
        </w:sectPr>
      </w:pPr>
      <w:r>
        <w:br w:type="page"/>
      </w:r>
    </w:p>
    <w:p w14:paraId="682AD742" w14:textId="1BDCF856" w:rsidR="00665055" w:rsidRDefault="00665055" w:rsidP="00665055">
      <w:pPr>
        <w:pStyle w:val="Heading2"/>
      </w:pPr>
      <w:bookmarkStart w:id="99" w:name="_Appendix_H_Evaluation"/>
      <w:bookmarkStart w:id="100" w:name="_Toc212542313"/>
      <w:bookmarkEnd w:id="99"/>
      <w:r>
        <w:lastRenderedPageBreak/>
        <w:t xml:space="preserve">Appendix </w:t>
      </w:r>
      <w:r w:rsidR="0049148F">
        <w:t>I.</w:t>
      </w:r>
      <w:r>
        <w:t xml:space="preserve"> Evaluation of Anemia in Adults</w:t>
      </w:r>
      <w:r w:rsidR="003663AA">
        <w:rPr>
          <w:rFonts w:ascii="ZWAdobeF" w:hAnsi="ZWAdobeF" w:cs="ZWAdobeF"/>
          <w:color w:val="auto"/>
          <w:sz w:val="2"/>
          <w:szCs w:val="2"/>
        </w:rPr>
        <w:t>45F</w:t>
      </w:r>
      <w:r w:rsidR="00736B73">
        <w:rPr>
          <w:rStyle w:val="EndnoteReference"/>
        </w:rPr>
        <w:endnoteReference w:id="51"/>
      </w:r>
      <w:bookmarkEnd w:id="100"/>
    </w:p>
    <w:p w14:paraId="4F161700" w14:textId="1D7D3EF5" w:rsidR="00665055" w:rsidRPr="00665055" w:rsidRDefault="00665055" w:rsidP="00665055">
      <w:r w:rsidRPr="00196B31">
        <w:rPr>
          <w:noProof/>
        </w:rPr>
        <w:drawing>
          <wp:inline distT="0" distB="0" distL="0" distR="0" wp14:anchorId="68E4FC51" wp14:editId="33B09BEC">
            <wp:extent cx="5682109" cy="3202763"/>
            <wp:effectExtent l="0" t="0" r="0" b="0"/>
            <wp:docPr id="109862906" name="Picture 1" descr="A diagram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669857" name="Picture 1" descr="A diagram with text and images&#10;&#10;AI-generated content may be incorrect."/>
                    <pic:cNvPicPr/>
                  </pic:nvPicPr>
                  <pic:blipFill>
                    <a:blip r:embed="rId41"/>
                    <a:stretch>
                      <a:fillRect/>
                    </a:stretch>
                  </pic:blipFill>
                  <pic:spPr>
                    <a:xfrm>
                      <a:off x="0" y="0"/>
                      <a:ext cx="5700350" cy="3213044"/>
                    </a:xfrm>
                    <a:prstGeom prst="rect">
                      <a:avLst/>
                    </a:prstGeom>
                  </pic:spPr>
                </pic:pic>
              </a:graphicData>
            </a:graphic>
          </wp:inline>
        </w:drawing>
      </w:r>
    </w:p>
    <w:p w14:paraId="5C5ACE4C" w14:textId="77777777" w:rsidR="00736B73" w:rsidRDefault="00736B73" w:rsidP="00736B73">
      <w:pPr>
        <w:pStyle w:val="Heading2"/>
      </w:pPr>
    </w:p>
    <w:p w14:paraId="2E44717B" w14:textId="4C9B0043" w:rsidR="00560497" w:rsidRPr="00AA6566" w:rsidRDefault="006F2129">
      <w:pPr>
        <w:rPr>
          <w:i/>
          <w:iCs/>
        </w:rPr>
      </w:pPr>
      <w:r w:rsidRPr="00560497">
        <w:rPr>
          <w:i/>
          <w:iCs/>
        </w:rPr>
        <w:t>Anemia evaluation in outpatient</w:t>
      </w:r>
      <w:r w:rsidR="005C2969">
        <w:rPr>
          <w:i/>
          <w:iCs/>
        </w:rPr>
        <w:t xml:space="preserve"> </w:t>
      </w:r>
      <w:r w:rsidR="00AA6566">
        <w:rPr>
          <w:i/>
          <w:iCs/>
        </w:rPr>
        <w:t xml:space="preserve">settings. </w:t>
      </w:r>
      <w:r w:rsidR="00560497" w:rsidRPr="00AA6566">
        <w:rPr>
          <w:i/>
          <w:iCs/>
        </w:rPr>
        <w:t xml:space="preserve">This algorithm is part of the UpToDate resource for anemia </w:t>
      </w:r>
      <w:proofErr w:type="gramStart"/>
      <w:r w:rsidR="00560497" w:rsidRPr="00AA6566">
        <w:rPr>
          <w:i/>
          <w:iCs/>
        </w:rPr>
        <w:t>evaluation, and</w:t>
      </w:r>
      <w:proofErr w:type="gramEnd"/>
      <w:r w:rsidR="00560497" w:rsidRPr="00AA6566">
        <w:rPr>
          <w:i/>
          <w:iCs/>
        </w:rPr>
        <w:t xml:space="preserve"> is a tool that can support evaluation of underlying anemia</w:t>
      </w:r>
      <w:r w:rsidR="00560497">
        <w:t xml:space="preserve">. </w:t>
      </w:r>
    </w:p>
    <w:p w14:paraId="78B4BF12" w14:textId="2248FCAF" w:rsidR="00736B73" w:rsidRPr="00560497" w:rsidRDefault="00736B73">
      <w:pPr>
        <w:rPr>
          <w:rFonts w:asciiTheme="majorHAnsi" w:eastAsiaTheme="majorEastAsia" w:hAnsiTheme="majorHAnsi" w:cstheme="majorBidi"/>
          <w:i/>
          <w:iCs/>
          <w:color w:val="0F4761" w:themeColor="accent1" w:themeShade="BF"/>
          <w:sz w:val="32"/>
          <w:szCs w:val="32"/>
        </w:rPr>
      </w:pPr>
      <w:r w:rsidRPr="00560497">
        <w:rPr>
          <w:i/>
          <w:iCs/>
        </w:rPr>
        <w:br w:type="page"/>
      </w:r>
    </w:p>
    <w:p w14:paraId="5BB8E1A0" w14:textId="7A6E68BB" w:rsidR="00BC3A96" w:rsidRPr="002A2FFD" w:rsidRDefault="00BC3A96" w:rsidP="00BC3A96">
      <w:pPr>
        <w:pStyle w:val="Heading1"/>
      </w:pPr>
      <w:bookmarkStart w:id="101" w:name="_Toc212542314"/>
      <w:r>
        <w:lastRenderedPageBreak/>
        <w:t>References</w:t>
      </w:r>
      <w:bookmarkEnd w:id="101"/>
    </w:p>
    <w:sectPr w:rsidR="00BC3A96" w:rsidRPr="002A2FFD" w:rsidSect="00BC3A96">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Ginny Weir" w:date="2025-10-16T14:08:00Z" w:initials="GW">
    <w:p w14:paraId="59D820CE" w14:textId="77777777" w:rsidR="00BA3C81" w:rsidRDefault="00BA3C81" w:rsidP="00BA3C81">
      <w:pPr>
        <w:pStyle w:val="CommentText"/>
      </w:pPr>
      <w:r>
        <w:rPr>
          <w:rStyle w:val="CommentReference"/>
        </w:rPr>
        <w:annotationRef/>
      </w:r>
      <w:r>
        <w:t>Spell out</w:t>
      </w:r>
    </w:p>
  </w:comment>
  <w:comment w:id="5" w:author="Beth Bojkov" w:date="2025-10-28T11:05:00Z" w:initials="BB">
    <w:p w14:paraId="15DB439B" w14:textId="77777777" w:rsidR="0049148F" w:rsidRDefault="0049148F" w:rsidP="0049148F">
      <w:pPr>
        <w:pStyle w:val="CommentText"/>
      </w:pPr>
      <w:r>
        <w:rPr>
          <w:rStyle w:val="CommentReference"/>
        </w:rPr>
        <w:annotationRef/>
      </w:r>
      <w:r>
        <w:t>Moved this up from the background section</w:t>
      </w:r>
    </w:p>
  </w:comment>
  <w:comment w:id="7" w:author="Beth Bojkov" w:date="2025-10-24T14:11:00Z" w:initials="BB">
    <w:p w14:paraId="7BBB533E" w14:textId="15005186" w:rsidR="004C22C0" w:rsidRDefault="004C22C0" w:rsidP="004C22C0">
      <w:pPr>
        <w:pStyle w:val="CommentText"/>
      </w:pPr>
      <w:r>
        <w:rPr>
          <w:rStyle w:val="CommentReference"/>
        </w:rPr>
        <w:annotationRef/>
      </w:r>
      <w:r>
        <w:t xml:space="preserve">Public Comment: </w:t>
      </w:r>
      <w:r>
        <w:rPr>
          <w:color w:val="000000"/>
        </w:rPr>
        <w:t xml:space="preserve">With an emphasis on preop management and risk stratification these become less effective-that space (Dr's offices) is not well managed or impacted by QI teams and you're much less likely to see impact.  While basic screening for diabetes is a good idea (and there are risk factors for that), our ability to risk stratify stress hyperglycemia in non-diabetics is bad.  The emerging evidence of non-DM patients having much worse outcomes than DM patients at the same glucose levels, the much larger pool of at risk non-DM patients and the benefit of insulin for more people points to a simpler solution for stress hyperglycemia, akin to the way we think about SSI.  Everyone is at risk for SSI, everyone gets antibiotics to prevent infection.  See below recommendations about guidelines. </w:t>
      </w:r>
    </w:p>
  </w:comment>
  <w:comment w:id="8" w:author="Beth Bojkov" w:date="2025-10-24T14:11:00Z" w:initials="BB">
    <w:p w14:paraId="33E1BF15" w14:textId="77777777" w:rsidR="00161AD8" w:rsidRDefault="00161AD8" w:rsidP="00161AD8">
      <w:pPr>
        <w:pStyle w:val="CommentText"/>
      </w:pPr>
      <w:r>
        <w:rPr>
          <w:rStyle w:val="CommentReference"/>
        </w:rPr>
        <w:annotationRef/>
      </w:r>
      <w:r>
        <w:t xml:space="preserve">Public Comment: </w:t>
      </w:r>
      <w:r>
        <w:rPr>
          <w:color w:val="000000"/>
        </w:rPr>
        <w:t>These are essential topics in periop management of patients elevating this through the Bree Collaborative is wonderful.</w:t>
      </w:r>
    </w:p>
  </w:comment>
  <w:comment w:id="9" w:author="Beth Bojkov" w:date="2025-10-24T14:12:00Z" w:initials="BB">
    <w:p w14:paraId="5DD0D0EC" w14:textId="77777777" w:rsidR="00950E17" w:rsidRDefault="00950E17" w:rsidP="00950E17">
      <w:pPr>
        <w:pStyle w:val="CommentText"/>
      </w:pPr>
      <w:r>
        <w:rPr>
          <w:rStyle w:val="CommentReference"/>
        </w:rPr>
        <w:annotationRef/>
      </w:r>
      <w:r>
        <w:t xml:space="preserve">Public Comment: </w:t>
      </w:r>
      <w:r>
        <w:rPr>
          <w:color w:val="000000"/>
        </w:rPr>
        <w:t xml:space="preserve">Good to limit to only major procedures. </w:t>
      </w:r>
    </w:p>
    <w:p w14:paraId="2EEBCCD2" w14:textId="77777777" w:rsidR="00950E17" w:rsidRDefault="00950E17" w:rsidP="00950E17">
      <w:pPr>
        <w:pStyle w:val="CommentText"/>
      </w:pPr>
    </w:p>
    <w:p w14:paraId="3092A196" w14:textId="77777777" w:rsidR="00950E17" w:rsidRDefault="00950E17" w:rsidP="00950E17">
      <w:pPr>
        <w:pStyle w:val="CommentText"/>
      </w:pPr>
      <w:r>
        <w:rPr>
          <w:color w:val="000000"/>
        </w:rPr>
        <w:t>There is considerable avoidable waste in perioperative testing in general in WA for more minor procedures with approximate 50% that could be avoided.  This guideline runs the risk of increased testing for minor procedures in addition to the major ones noted in the guidelin</w:t>
      </w:r>
    </w:p>
  </w:comment>
  <w:comment w:id="10" w:author="Beth Bojkov" w:date="2025-10-27T10:09:00Z" w:initials="BB">
    <w:p w14:paraId="37B11F16" w14:textId="77777777" w:rsidR="00D40B72" w:rsidRDefault="00D40B72" w:rsidP="00D40B72">
      <w:pPr>
        <w:pStyle w:val="CommentText"/>
      </w:pPr>
      <w:r>
        <w:rPr>
          <w:rStyle w:val="CommentReference"/>
        </w:rPr>
        <w:annotationRef/>
      </w:r>
      <w:r>
        <w:t>Public Comment: Overall very satisfied with them. though for Iron infusion therapy that may be difficult to get access to for many in the community in a timely manner.</w:t>
      </w:r>
    </w:p>
  </w:comment>
  <w:comment w:id="14" w:author="Beth Bojkov" w:date="2025-10-24T14:14:00Z" w:initials="BB">
    <w:p w14:paraId="19763F92" w14:textId="77777777" w:rsidR="00D40B72" w:rsidRDefault="00DF3B50" w:rsidP="00D40B72">
      <w:pPr>
        <w:pStyle w:val="CommentText"/>
      </w:pPr>
      <w:r>
        <w:rPr>
          <w:rStyle w:val="CommentReference"/>
        </w:rPr>
        <w:annotationRef/>
      </w:r>
      <w:r w:rsidR="00D40B72">
        <w:t>Public Comment: The guideline assumes entry is through a primary care physician or a provider who then refers to a surgeon.  The data shows approximately 35% of Washingtonians do not have a PCP relationship and may go straight to the surgeon.  It is unclear in my reading as to the surgeon role in maximizing glycemic control and anemia management other than in the immediate preoperative period</w:t>
      </w:r>
    </w:p>
  </w:comment>
  <w:comment w:id="15" w:author="Beth Bojkov" w:date="2025-10-24T14:14:00Z" w:initials="BB">
    <w:p w14:paraId="19DCA0C7" w14:textId="77777777" w:rsidR="00D40B72" w:rsidRDefault="00590215" w:rsidP="00D40B72">
      <w:pPr>
        <w:pStyle w:val="CommentText"/>
      </w:pPr>
      <w:r>
        <w:rPr>
          <w:rStyle w:val="CommentReference"/>
        </w:rPr>
        <w:annotationRef/>
      </w:r>
      <w:r w:rsidR="00D40B72">
        <w:t>Public Comment: The algorithms are very helpful and are more digestible than the long paragraphs preceding them.</w:t>
      </w:r>
    </w:p>
  </w:comment>
  <w:comment w:id="16" w:author="Beth Bojkov" w:date="2025-10-27T10:09:00Z" w:initials="BB">
    <w:p w14:paraId="1034E4B1" w14:textId="77777777" w:rsidR="0071688F" w:rsidRDefault="0071688F" w:rsidP="0071688F">
      <w:pPr>
        <w:pStyle w:val="CommentText"/>
      </w:pPr>
      <w:r>
        <w:rPr>
          <w:rStyle w:val="CommentReference"/>
        </w:rPr>
        <w:annotationRef/>
      </w:r>
      <w:r>
        <w:t>Public Comment: Please indicate what is an acceptable timeframe between surgery and last A1C. Should an A1C be within 2 months of surgery? Some recommendations here would be great. thanks</w:t>
      </w:r>
    </w:p>
  </w:comment>
  <w:comment w:id="17" w:author="Ginny Weir" w:date="2025-10-16T14:09:00Z" w:initials="GW">
    <w:p w14:paraId="3A0067E2" w14:textId="515ACA78" w:rsidR="00D21C2E" w:rsidRDefault="00D21C2E" w:rsidP="00D21C2E">
      <w:pPr>
        <w:pStyle w:val="CommentText"/>
      </w:pPr>
      <w:r>
        <w:rPr>
          <w:rStyle w:val="CommentReference"/>
        </w:rPr>
        <w:annotationRef/>
      </w:r>
      <w:r>
        <w:t>Should step prior to this be to screen each patient who is being referred to surgery for risk factors that aren’t already part of medical record like family history if not already done</w:t>
      </w:r>
    </w:p>
  </w:comment>
  <w:comment w:id="18" w:author="Ginny Weir" w:date="2025-10-16T14:10:00Z" w:initials="GW">
    <w:p w14:paraId="6224CA5D" w14:textId="77777777" w:rsidR="009111EB" w:rsidRDefault="009111EB" w:rsidP="009111EB">
      <w:pPr>
        <w:pStyle w:val="CommentText"/>
      </w:pPr>
      <w:r>
        <w:rPr>
          <w:rStyle w:val="CommentReference"/>
        </w:rPr>
        <w:annotationRef/>
      </w:r>
      <w:r>
        <w:t>Spell out</w:t>
      </w:r>
    </w:p>
  </w:comment>
  <w:comment w:id="19" w:author="Ginny Weir" w:date="2025-10-16T14:10:00Z" w:initials="GW">
    <w:p w14:paraId="29832132" w14:textId="77777777" w:rsidR="00B05C50" w:rsidRDefault="00B05C50" w:rsidP="00B05C50">
      <w:pPr>
        <w:pStyle w:val="CommentText"/>
      </w:pPr>
      <w:r>
        <w:rPr>
          <w:rStyle w:val="CommentReference"/>
        </w:rPr>
        <w:annotationRef/>
      </w:r>
      <w:r>
        <w:t>Is this defined somewhere</w:t>
      </w:r>
    </w:p>
  </w:comment>
  <w:comment w:id="20" w:author="Ginny Weir" w:date="2025-10-16T14:11:00Z" w:initials="GW">
    <w:p w14:paraId="21CE3CA0" w14:textId="77777777" w:rsidR="00B05C50" w:rsidRDefault="00B05C50" w:rsidP="00B05C50">
      <w:pPr>
        <w:pStyle w:val="CommentText"/>
      </w:pPr>
      <w:r>
        <w:rPr>
          <w:rStyle w:val="CommentReference"/>
        </w:rPr>
        <w:annotationRef/>
      </w:r>
      <w:r>
        <w:t>Spell out</w:t>
      </w:r>
    </w:p>
  </w:comment>
  <w:comment w:id="23" w:author="Beth Bojkov" w:date="2025-10-24T14:15:00Z" w:initials="BB">
    <w:p w14:paraId="1572AE23" w14:textId="77777777" w:rsidR="00E14118" w:rsidRDefault="00D0602B" w:rsidP="00E14118">
      <w:pPr>
        <w:pStyle w:val="CommentText"/>
      </w:pPr>
      <w:r>
        <w:rPr>
          <w:rStyle w:val="CommentReference"/>
        </w:rPr>
        <w:annotationRef/>
      </w:r>
      <w:r w:rsidR="00E14118">
        <w:t>Public Comment: “A more effective and simpler recommendation would be;</w:t>
      </w:r>
    </w:p>
    <w:p w14:paraId="6B8F3A3F" w14:textId="77777777" w:rsidR="00E14118" w:rsidRDefault="00E14118" w:rsidP="00E14118">
      <w:pPr>
        <w:pStyle w:val="CommentText"/>
      </w:pPr>
      <w:r>
        <w:t>i.</w:t>
      </w:r>
      <w:r>
        <w:tab/>
        <w:t>1) Screen for diabetes among all</w:t>
      </w:r>
    </w:p>
    <w:p w14:paraId="70BA724D" w14:textId="77777777" w:rsidR="00E14118" w:rsidRDefault="00E14118" w:rsidP="00E14118">
      <w:pPr>
        <w:pStyle w:val="CommentText"/>
      </w:pPr>
      <w:r>
        <w:t>ii.</w:t>
      </w:r>
      <w:r>
        <w:tab/>
        <w:t>2) For patients with DM try to get better glycemic control preop</w:t>
      </w:r>
    </w:p>
    <w:p w14:paraId="3BBFF812" w14:textId="77777777" w:rsidR="00E14118" w:rsidRDefault="00E14118" w:rsidP="00E14118">
      <w:pPr>
        <w:pStyle w:val="CommentText"/>
      </w:pPr>
      <w:r>
        <w:t>iii.</w:t>
      </w:r>
      <w:r>
        <w:tab/>
        <w:t>3) For ALL patients, get day of surgery fasting blood glucose</w:t>
      </w:r>
    </w:p>
    <w:p w14:paraId="4E9CAD5E" w14:textId="77777777" w:rsidR="00E14118" w:rsidRDefault="00E14118" w:rsidP="00E14118">
      <w:pPr>
        <w:pStyle w:val="CommentText"/>
      </w:pPr>
      <w:r>
        <w:t>iv.</w:t>
      </w:r>
      <w:r>
        <w:tab/>
        <w:t>4) For ALL patients having surgery expected to last more than 3 hrs get a BG in the OR</w:t>
      </w:r>
    </w:p>
    <w:p w14:paraId="6BB3DF64" w14:textId="77777777" w:rsidR="00E14118" w:rsidRDefault="00E14118" w:rsidP="00E14118">
      <w:pPr>
        <w:pStyle w:val="CommentText"/>
      </w:pPr>
      <w:r>
        <w:t>v.</w:t>
      </w:r>
      <w:r>
        <w:tab/>
        <w:t>5) For ALL patients who have BG&gt;180, start IV insulin (preop holding or OR) and repeat BG testing until BG&lt;180</w:t>
      </w:r>
    </w:p>
    <w:p w14:paraId="25EBA31C" w14:textId="77777777" w:rsidR="00E14118" w:rsidRDefault="00E14118" w:rsidP="00E14118">
      <w:pPr>
        <w:pStyle w:val="CommentText"/>
      </w:pPr>
      <w:r>
        <w:t>vi.</w:t>
      </w:r>
      <w:r>
        <w:tab/>
        <w:t>6) Postop, discontinue IV insulin once BG gets under 180 and switch to SQ insulin sliding scale"</w:t>
      </w:r>
    </w:p>
  </w:comment>
  <w:comment w:id="26" w:author="Ginny Weir" w:date="2025-10-16T14:15:00Z" w:initials="GW">
    <w:p w14:paraId="0ED6F5BF" w14:textId="14628612" w:rsidR="002610E2" w:rsidRDefault="002610E2" w:rsidP="002610E2">
      <w:pPr>
        <w:pStyle w:val="CommentText"/>
      </w:pPr>
      <w:r>
        <w:rPr>
          <w:rStyle w:val="CommentReference"/>
        </w:rPr>
        <w:annotationRef/>
      </w:r>
      <w:r>
        <w:t>Spell out</w:t>
      </w:r>
    </w:p>
  </w:comment>
  <w:comment w:id="24" w:author="Beth Bojkov" w:date="2025-10-28T11:07:00Z" w:initials="BB">
    <w:p w14:paraId="3AAB3B5E" w14:textId="77777777" w:rsidR="003F4A07" w:rsidRDefault="003F4A07" w:rsidP="003F4A07">
      <w:pPr>
        <w:pStyle w:val="CommentText"/>
      </w:pPr>
      <w:r>
        <w:rPr>
          <w:rStyle w:val="CommentReference"/>
        </w:rPr>
        <w:annotationRef/>
      </w:r>
      <w:r>
        <w:t>Public Comment: It was not clarified if surgery could proceed in urgent or emergency cases with ketoacidosis is present. I would assume this would be ok but it is not stated clearly.</w:t>
      </w:r>
    </w:p>
  </w:comment>
  <w:comment w:id="25" w:author="Beth Bojkov" w:date="2025-10-28T11:07:00Z" w:initials="BB">
    <w:p w14:paraId="31538F96" w14:textId="77777777" w:rsidR="003F4A07" w:rsidRDefault="003F4A07" w:rsidP="003F4A07">
      <w:pPr>
        <w:pStyle w:val="CommentText"/>
      </w:pPr>
      <w:r>
        <w:rPr>
          <w:rStyle w:val="CommentReference"/>
        </w:rPr>
        <w:annotationRef/>
      </w:r>
      <w:r>
        <w:t>Discuss this in the group</w:t>
      </w:r>
    </w:p>
  </w:comment>
  <w:comment w:id="27" w:author="Beth Bojkov" w:date="2025-10-28T11:09:00Z" w:initials="BB">
    <w:p w14:paraId="446ED501" w14:textId="77777777" w:rsidR="006D3C29" w:rsidRDefault="006D3C29" w:rsidP="006D3C29">
      <w:pPr>
        <w:pStyle w:val="CommentText"/>
      </w:pPr>
      <w:r>
        <w:rPr>
          <w:rStyle w:val="CommentReference"/>
        </w:rPr>
        <w:annotationRef/>
      </w:r>
      <w:r>
        <w:t>This is aligned with our general principles at the top of the document, but the public comment recommends 3 hours</w:t>
      </w:r>
    </w:p>
  </w:comment>
  <w:comment w:id="29" w:author="Beth Bojkov" w:date="2025-10-24T14:17:00Z" w:initials="BB">
    <w:p w14:paraId="07C94FD3" w14:textId="64CBED54" w:rsidR="00724313" w:rsidRDefault="003117C3" w:rsidP="00724313">
      <w:pPr>
        <w:pStyle w:val="CommentText"/>
      </w:pPr>
      <w:r>
        <w:rPr>
          <w:rStyle w:val="CommentReference"/>
        </w:rPr>
        <w:annotationRef/>
      </w:r>
      <w:r w:rsidR="00724313">
        <w:t>Public Comment: One set of educational materials should be used, preferably from the surgical team.  Having separate ones from the health system, health plans, PCP and surgical teams may lead to discrepancies and confusion</w:t>
      </w:r>
    </w:p>
  </w:comment>
  <w:comment w:id="30" w:author="Beth Bojkov" w:date="2025-10-24T14:17:00Z" w:initials="BB">
    <w:p w14:paraId="2791880A" w14:textId="4944198C" w:rsidR="00724313" w:rsidRDefault="00724313" w:rsidP="00724313">
      <w:pPr>
        <w:pStyle w:val="CommentText"/>
      </w:pPr>
      <w:r>
        <w:rPr>
          <w:rStyle w:val="CommentReference"/>
        </w:rPr>
        <w:annotationRef/>
      </w:r>
      <w:r>
        <w:t>Public Comment: Stronger recommendations to hospitals to have the capacity for IV insulin drips in non-ICU settings would help facilitate more insulin use for perioperative hyperglycemia</w:t>
      </w:r>
    </w:p>
  </w:comment>
  <w:comment w:id="31" w:author="Beth Bojkov" w:date="2025-10-24T14:18:00Z" w:initials="BB">
    <w:p w14:paraId="1918DCDE" w14:textId="77777777" w:rsidR="00056507" w:rsidRDefault="004F453E" w:rsidP="00056507">
      <w:pPr>
        <w:pStyle w:val="CommentText"/>
      </w:pPr>
      <w:r>
        <w:rPr>
          <w:rStyle w:val="CommentReference"/>
        </w:rPr>
        <w:annotationRef/>
      </w:r>
      <w:r w:rsidR="00056507">
        <w:t xml:space="preserve">What concrete steps are recommended? Does WSHA have resources? </w:t>
      </w:r>
    </w:p>
  </w:comment>
  <w:comment w:id="34" w:author="Beth Bojkov" w:date="2025-10-24T14:20:00Z" w:initials="BB">
    <w:p w14:paraId="1DBDD0BD" w14:textId="3811857C" w:rsidR="00A11C90" w:rsidRDefault="00A11C90" w:rsidP="00A11C90">
      <w:pPr>
        <w:pStyle w:val="CommentText"/>
      </w:pPr>
      <w:r>
        <w:rPr>
          <w:rStyle w:val="CommentReference"/>
        </w:rPr>
        <w:annotationRef/>
      </w:r>
      <w:r>
        <w:t>Public Comment: I have concerns about disintermediating existing PCP relationships and clinical management in relying on the HP to care manage a patient outside of the surgical care team and existing PCP structures.  This can be confusing to the member and may provide inaccurate information.  Diabetic point solutions from the HP typically are not connected to the treating physicians and information sharing is limited at best.  Some points solutions offer limited value.  Better to either name the solution or remove recommendation.  Education materials should come from the treating provider as they may be more specific to the service being provided and have more specific instructions.  Dashboards and metrics should be developed separately or use local or national reporting group.  Otherwise, each HP will develop somewhat different coding and specifications for measurement which can be confusing to the provider QI program.  Bundled payments - I suggest having anemia management external to the bundle (paid separately) rather than included in a general bundle arrangement.</w:t>
      </w:r>
    </w:p>
  </w:comment>
  <w:comment w:id="35" w:author="Beth Bojkov" w:date="2025-10-27T11:34:00Z" w:initials="BB">
    <w:p w14:paraId="793B7AB6" w14:textId="77777777" w:rsidR="00E828E6" w:rsidRDefault="00677D58" w:rsidP="00E828E6">
      <w:pPr>
        <w:pStyle w:val="CommentText"/>
      </w:pPr>
      <w:r>
        <w:rPr>
          <w:rStyle w:val="CommentReference"/>
        </w:rPr>
        <w:annotationRef/>
      </w:r>
      <w:r w:rsidR="00E828E6">
        <w:t>Move to HCA - educational material that are adaptable to everyone in partnership with plans, could that be possible?</w:t>
      </w:r>
    </w:p>
  </w:comment>
  <w:comment w:id="36" w:author="Beth Bojkov" w:date="2025-10-24T14:05:00Z" w:initials="BB">
    <w:p w14:paraId="088FBE6E" w14:textId="0D12E4F6" w:rsidR="007143FF" w:rsidRDefault="007143FF" w:rsidP="007143FF">
      <w:pPr>
        <w:pStyle w:val="CommentText"/>
      </w:pPr>
      <w:r>
        <w:rPr>
          <w:rStyle w:val="CommentReference"/>
        </w:rPr>
        <w:annotationRef/>
      </w:r>
      <w:r>
        <w:t>These are opposing recommendations - need to check in with Ty</w:t>
      </w:r>
    </w:p>
  </w:comment>
  <w:comment w:id="39" w:author="Beth Bojkov" w:date="2025-10-24T14:21:00Z" w:initials="BB">
    <w:p w14:paraId="031AAC4D" w14:textId="77777777" w:rsidR="007D5418" w:rsidRDefault="007D5418" w:rsidP="007D5418">
      <w:pPr>
        <w:pStyle w:val="CommentText"/>
      </w:pPr>
      <w:r>
        <w:rPr>
          <w:rStyle w:val="CommentReference"/>
        </w:rPr>
        <w:annotationRef/>
      </w:r>
      <w:r>
        <w:t>Public Comment: Most of the guidelines discusses bundled payment yet for the employer changes to a shared savings model or P$P which have zero provider risk. 2.  May want to rewrite for clarity.  Alternatively, recommend the use of COE for major procedures and any COE must have robust management for glycemic control and anemia in selected populations. 3.  may want to add "" ... for at risk populations."" 4.  Performance measures should be developed regionally or nationally so that consistent specifications and coding occur.  As written, it is unclear what may be measured or measurement may/will vary by health plan reporting.</w:t>
      </w:r>
    </w:p>
  </w:comment>
  <w:comment w:id="40" w:author="Beth Bojkov" w:date="2025-10-24T14:22:00Z" w:initials="BB">
    <w:p w14:paraId="7B3CFD02" w14:textId="77777777" w:rsidR="00816DA6" w:rsidRDefault="00816DA6" w:rsidP="00816DA6">
      <w:pPr>
        <w:pStyle w:val="CommentText"/>
      </w:pPr>
      <w:r>
        <w:rPr>
          <w:rStyle w:val="CommentReference"/>
        </w:rPr>
        <w:annotationRef/>
      </w:r>
      <w:r>
        <w:t>Need further input from Ty</w:t>
      </w:r>
    </w:p>
  </w:comment>
  <w:comment w:id="42" w:author="Beth Bojkov" w:date="2025-10-24T14:22:00Z" w:initials="BB">
    <w:p w14:paraId="542252A2" w14:textId="77777777" w:rsidR="00D07B79" w:rsidRDefault="00D07B79" w:rsidP="00D07B79">
      <w:pPr>
        <w:pStyle w:val="CommentText"/>
      </w:pPr>
      <w:r>
        <w:rPr>
          <w:rStyle w:val="CommentReference"/>
        </w:rPr>
        <w:annotationRef/>
      </w:r>
      <w:r>
        <w:t>Public Comment: OK if budgets allow.  Would assess the value of HCA creating new educational materials versus use of provider derived materials</w:t>
      </w:r>
    </w:p>
  </w:comment>
  <w:comment w:id="47" w:author="Ginny Weir" w:date="2025-10-16T14:34:00Z" w:initials="GW">
    <w:p w14:paraId="7BFFE825" w14:textId="23E79D91" w:rsidR="00D11590" w:rsidRDefault="00D11590" w:rsidP="00D11590">
      <w:pPr>
        <w:pStyle w:val="CommentText"/>
      </w:pPr>
      <w:r>
        <w:rPr>
          <w:rStyle w:val="CommentReference"/>
        </w:rPr>
        <w:annotationRef/>
      </w:r>
      <w:r>
        <w:t>Should be the acronym or the word throughout</w:t>
      </w:r>
    </w:p>
  </w:comment>
  <w:comment w:id="50" w:author="Beth Bojkov" w:date="2025-10-28T12:14:00Z" w:initials="BB">
    <w:p w14:paraId="31F8D2B6" w14:textId="77777777" w:rsidR="005021B2" w:rsidRDefault="005021B2" w:rsidP="005021B2">
      <w:pPr>
        <w:pStyle w:val="CommentText"/>
      </w:pPr>
      <w:r>
        <w:rPr>
          <w:rStyle w:val="CommentReference"/>
        </w:rPr>
        <w:annotationRef/>
      </w:r>
      <w:r>
        <w:t>on admission implies only preoperative measurement. This should say in the immediate preoperative period and during and after the surgical procedure. - Dr. Dellinger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D820CE" w15:done="1"/>
  <w15:commentEx w15:paraId="15DB439B" w15:done="0"/>
  <w15:commentEx w15:paraId="7BBB533E" w15:done="0"/>
  <w15:commentEx w15:paraId="33E1BF15" w15:paraIdParent="7BBB533E" w15:done="0"/>
  <w15:commentEx w15:paraId="3092A196" w15:paraIdParent="7BBB533E" w15:done="0"/>
  <w15:commentEx w15:paraId="37B11F16" w15:paraIdParent="7BBB533E" w15:done="0"/>
  <w15:commentEx w15:paraId="19763F92" w15:done="0"/>
  <w15:commentEx w15:paraId="19DCA0C7" w15:paraIdParent="19763F92" w15:done="0"/>
  <w15:commentEx w15:paraId="1034E4B1" w15:paraIdParent="19763F92" w15:done="0"/>
  <w15:commentEx w15:paraId="3A0067E2" w15:done="1"/>
  <w15:commentEx w15:paraId="6224CA5D" w15:done="1"/>
  <w15:commentEx w15:paraId="29832132" w15:done="1"/>
  <w15:commentEx w15:paraId="21CE3CA0" w15:done="1"/>
  <w15:commentEx w15:paraId="25EBA31C" w15:done="0"/>
  <w15:commentEx w15:paraId="0ED6F5BF" w15:done="1"/>
  <w15:commentEx w15:paraId="3AAB3B5E" w15:done="0"/>
  <w15:commentEx w15:paraId="31538F96" w15:paraIdParent="3AAB3B5E" w15:done="0"/>
  <w15:commentEx w15:paraId="446ED501" w15:done="0"/>
  <w15:commentEx w15:paraId="07C94FD3" w15:done="0"/>
  <w15:commentEx w15:paraId="2791880A" w15:paraIdParent="07C94FD3" w15:done="0"/>
  <w15:commentEx w15:paraId="1918DCDE" w15:done="0"/>
  <w15:commentEx w15:paraId="1DBDD0BD" w15:done="0"/>
  <w15:commentEx w15:paraId="793B7AB6" w15:done="0"/>
  <w15:commentEx w15:paraId="088FBE6E" w15:done="0"/>
  <w15:commentEx w15:paraId="031AAC4D" w15:done="0"/>
  <w15:commentEx w15:paraId="7B3CFD02" w15:done="0"/>
  <w15:commentEx w15:paraId="542252A2" w15:done="0"/>
  <w15:commentEx w15:paraId="7BFFE825" w15:done="1"/>
  <w15:commentEx w15:paraId="31F8D2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74F56C" w16cex:dateUtc="2025-10-16T21:08:00Z"/>
  <w16cex:commentExtensible w16cex:durableId="208047BE" w16cex:dateUtc="2025-10-28T18:05:00Z"/>
  <w16cex:commentExtensible w16cex:durableId="129123CE" w16cex:dateUtc="2025-10-24T21:11:00Z"/>
  <w16cex:commentExtensible w16cex:durableId="427F7235" w16cex:dateUtc="2025-10-24T21:11:00Z"/>
  <w16cex:commentExtensible w16cex:durableId="058EB625" w16cex:dateUtc="2025-10-24T21:12:00Z"/>
  <w16cex:commentExtensible w16cex:durableId="1BDD2155" w16cex:dateUtc="2025-10-27T17:09:00Z"/>
  <w16cex:commentExtensible w16cex:durableId="03DBB6DE" w16cex:dateUtc="2025-10-24T21:14:00Z"/>
  <w16cex:commentExtensible w16cex:durableId="59B8FFC2" w16cex:dateUtc="2025-10-24T21:14:00Z"/>
  <w16cex:commentExtensible w16cex:durableId="08D681E6" w16cex:dateUtc="2025-10-27T17:09:00Z"/>
  <w16cex:commentExtensible w16cex:durableId="6FBA15DB" w16cex:dateUtc="2025-10-16T21:09:00Z">
    <w16cex:extLst>
      <w16:ext w16:uri="{CE6994B0-6A32-4C9F-8C6B-6E91EDA988CE}">
        <cr:reactions xmlns:cr="http://schemas.microsoft.com/office/comments/2020/reactions">
          <cr:reaction reactionType="1">
            <cr:reactionInfo dateUtc="2025-10-16T23:05:36Z">
              <cr:user userId="S::ebojkov@qualityhealth.org::6ebdf489-8751-49a4-bcfc-8b396765f0a3" userProvider="AD" userName="Beth Bojkov"/>
            </cr:reactionInfo>
          </cr:reaction>
        </cr:reactions>
      </w16:ext>
    </w16cex:extLst>
  </w16cex:commentExtensible>
  <w16cex:commentExtensible w16cex:durableId="6F0F9F7B" w16cex:dateUtc="2025-10-16T21:10:00Z"/>
  <w16cex:commentExtensible w16cex:durableId="68558A74" w16cex:dateUtc="2025-10-16T21:10:00Z"/>
  <w16cex:commentExtensible w16cex:durableId="65ABFA4C" w16cex:dateUtc="2025-10-16T21:11:00Z"/>
  <w16cex:commentExtensible w16cex:durableId="41ADFDA0" w16cex:dateUtc="2025-10-24T21:15:00Z"/>
  <w16cex:commentExtensible w16cex:durableId="58703BAA" w16cex:dateUtc="2025-10-16T21:15:00Z"/>
  <w16cex:commentExtensible w16cex:durableId="05A14FEA" w16cex:dateUtc="2025-10-28T18:07:00Z"/>
  <w16cex:commentExtensible w16cex:durableId="3F095A9D" w16cex:dateUtc="2025-10-28T18:07:00Z"/>
  <w16cex:commentExtensible w16cex:durableId="79153C11" w16cex:dateUtc="2025-10-28T18:09:00Z"/>
  <w16cex:commentExtensible w16cex:durableId="07741CFA" w16cex:dateUtc="2025-10-24T21:17:00Z"/>
  <w16cex:commentExtensible w16cex:durableId="1CD1565A" w16cex:dateUtc="2025-10-24T21:17:00Z"/>
  <w16cex:commentExtensible w16cex:durableId="672FB501" w16cex:dateUtc="2025-10-24T21:18:00Z"/>
  <w16cex:commentExtensible w16cex:durableId="5B304CE4" w16cex:dateUtc="2025-10-24T21:20:00Z"/>
  <w16cex:commentExtensible w16cex:durableId="0D14F619" w16cex:dateUtc="2025-10-27T18:34:00Z"/>
  <w16cex:commentExtensible w16cex:durableId="4078EEBB" w16cex:dateUtc="2025-10-24T21:05:00Z"/>
  <w16cex:commentExtensible w16cex:durableId="02B80A11" w16cex:dateUtc="2025-10-24T21:21:00Z"/>
  <w16cex:commentExtensible w16cex:durableId="1D218A50" w16cex:dateUtc="2025-10-24T21:22:00Z"/>
  <w16cex:commentExtensible w16cex:durableId="06A320DA" w16cex:dateUtc="2025-10-24T21:22:00Z"/>
  <w16cex:commentExtensible w16cex:durableId="07B9E754" w16cex:dateUtc="2025-10-16T21:34:00Z"/>
  <w16cex:commentExtensible w16cex:durableId="1D51989E" w16cex:dateUtc="2025-10-28T19: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D820CE" w16cid:durableId="1274F56C"/>
  <w16cid:commentId w16cid:paraId="15DB439B" w16cid:durableId="208047BE"/>
  <w16cid:commentId w16cid:paraId="7BBB533E" w16cid:durableId="129123CE"/>
  <w16cid:commentId w16cid:paraId="33E1BF15" w16cid:durableId="427F7235"/>
  <w16cid:commentId w16cid:paraId="3092A196" w16cid:durableId="058EB625"/>
  <w16cid:commentId w16cid:paraId="37B11F16" w16cid:durableId="1BDD2155"/>
  <w16cid:commentId w16cid:paraId="19763F92" w16cid:durableId="03DBB6DE"/>
  <w16cid:commentId w16cid:paraId="19DCA0C7" w16cid:durableId="59B8FFC2"/>
  <w16cid:commentId w16cid:paraId="1034E4B1" w16cid:durableId="08D681E6"/>
  <w16cid:commentId w16cid:paraId="3A0067E2" w16cid:durableId="6FBA15DB"/>
  <w16cid:commentId w16cid:paraId="6224CA5D" w16cid:durableId="6F0F9F7B"/>
  <w16cid:commentId w16cid:paraId="29832132" w16cid:durableId="68558A74"/>
  <w16cid:commentId w16cid:paraId="21CE3CA0" w16cid:durableId="65ABFA4C"/>
  <w16cid:commentId w16cid:paraId="25EBA31C" w16cid:durableId="41ADFDA0"/>
  <w16cid:commentId w16cid:paraId="0ED6F5BF" w16cid:durableId="58703BAA"/>
  <w16cid:commentId w16cid:paraId="3AAB3B5E" w16cid:durableId="05A14FEA"/>
  <w16cid:commentId w16cid:paraId="31538F96" w16cid:durableId="3F095A9D"/>
  <w16cid:commentId w16cid:paraId="446ED501" w16cid:durableId="79153C11"/>
  <w16cid:commentId w16cid:paraId="07C94FD3" w16cid:durableId="07741CFA"/>
  <w16cid:commentId w16cid:paraId="2791880A" w16cid:durableId="1CD1565A"/>
  <w16cid:commentId w16cid:paraId="1918DCDE" w16cid:durableId="672FB501"/>
  <w16cid:commentId w16cid:paraId="1DBDD0BD" w16cid:durableId="5B304CE4"/>
  <w16cid:commentId w16cid:paraId="793B7AB6" w16cid:durableId="0D14F619"/>
  <w16cid:commentId w16cid:paraId="088FBE6E" w16cid:durableId="4078EEBB"/>
  <w16cid:commentId w16cid:paraId="031AAC4D" w16cid:durableId="02B80A11"/>
  <w16cid:commentId w16cid:paraId="7B3CFD02" w16cid:durableId="1D218A50"/>
  <w16cid:commentId w16cid:paraId="542252A2" w16cid:durableId="06A320DA"/>
  <w16cid:commentId w16cid:paraId="7BFFE825" w16cid:durableId="07B9E754"/>
  <w16cid:commentId w16cid:paraId="31F8D2B6" w16cid:durableId="1D5198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01350" w14:textId="77777777" w:rsidR="00A717D1" w:rsidRDefault="00A717D1">
      <w:pPr>
        <w:spacing w:after="0" w:line="240" w:lineRule="auto"/>
      </w:pPr>
      <w:r>
        <w:separator/>
      </w:r>
    </w:p>
  </w:endnote>
  <w:endnote w:type="continuationSeparator" w:id="0">
    <w:p w14:paraId="4A219D30" w14:textId="77777777" w:rsidR="00A717D1" w:rsidRDefault="00A717D1">
      <w:pPr>
        <w:spacing w:after="0" w:line="240" w:lineRule="auto"/>
      </w:pPr>
      <w:r>
        <w:continuationSeparator/>
      </w:r>
    </w:p>
  </w:endnote>
  <w:endnote w:id="1">
    <w:p w14:paraId="64C95F73" w14:textId="77777777" w:rsidR="003C16E9" w:rsidRPr="003F567D" w:rsidRDefault="003C16E9" w:rsidP="003C16E9">
      <w:pPr>
        <w:pStyle w:val="EndnoteText"/>
        <w:rPr>
          <w:rFonts w:ascii="Calibri" w:hAnsi="Calibri" w:cs="Calibri"/>
          <w:sz w:val="18"/>
          <w:szCs w:val="18"/>
        </w:rPr>
      </w:pPr>
      <w:r>
        <w:rPr>
          <w:rStyle w:val="EndnoteReference"/>
        </w:rPr>
        <w:endnoteRef/>
      </w:r>
      <w:r>
        <w:t xml:space="preserve"> </w:t>
      </w:r>
      <w:r w:rsidRPr="003F567D">
        <w:rPr>
          <w:rFonts w:ascii="Calibri" w:hAnsi="Calibri" w:cs="Calibri"/>
          <w:sz w:val="18"/>
          <w:szCs w:val="18"/>
        </w:rPr>
        <w:t xml:space="preserve">Schatz C, </w:t>
      </w:r>
      <w:proofErr w:type="spellStart"/>
      <w:r w:rsidRPr="003F567D">
        <w:rPr>
          <w:rFonts w:ascii="Calibri" w:hAnsi="Calibri" w:cs="Calibri"/>
          <w:sz w:val="18"/>
          <w:szCs w:val="18"/>
        </w:rPr>
        <w:t>Plötz</w:t>
      </w:r>
      <w:proofErr w:type="spellEnd"/>
      <w:r w:rsidRPr="003F567D">
        <w:rPr>
          <w:rFonts w:ascii="Calibri" w:hAnsi="Calibri" w:cs="Calibri"/>
          <w:sz w:val="18"/>
          <w:szCs w:val="18"/>
        </w:rPr>
        <w:t xml:space="preserve"> W, Beckmann J, Bredow K, Leidl R, Buschner P. Associations of preoperative anemia and postoperative hemoglobin values with hospital costs in total knee arthroplasty (TKA). Arch </w:t>
      </w:r>
      <w:proofErr w:type="spellStart"/>
      <w:r w:rsidRPr="003F567D">
        <w:rPr>
          <w:rFonts w:ascii="Calibri" w:hAnsi="Calibri" w:cs="Calibri"/>
          <w:sz w:val="18"/>
          <w:szCs w:val="18"/>
        </w:rPr>
        <w:t>Orthop</w:t>
      </w:r>
      <w:proofErr w:type="spellEnd"/>
      <w:r w:rsidRPr="003F567D">
        <w:rPr>
          <w:rFonts w:ascii="Calibri" w:hAnsi="Calibri" w:cs="Calibri"/>
          <w:sz w:val="18"/>
          <w:szCs w:val="18"/>
        </w:rPr>
        <w:t xml:space="preserve"> Trauma Surg. 2023 Nov;143(11):6741-6751.</w:t>
      </w:r>
    </w:p>
  </w:endnote>
  <w:endnote w:id="2">
    <w:p w14:paraId="4679E0EF" w14:textId="77777777" w:rsidR="003C16E9" w:rsidRPr="003F567D" w:rsidRDefault="003C16E9" w:rsidP="003C16E9">
      <w:pPr>
        <w:pStyle w:val="EndnoteText"/>
        <w:rPr>
          <w:rFonts w:ascii="Calibri" w:hAnsi="Calibri" w:cs="Calibri"/>
          <w:sz w:val="18"/>
          <w:szCs w:val="18"/>
        </w:rPr>
      </w:pPr>
      <w:r w:rsidRPr="003F567D">
        <w:rPr>
          <w:rStyle w:val="EndnoteReference"/>
          <w:rFonts w:ascii="Calibri" w:hAnsi="Calibri" w:cs="Calibri"/>
          <w:sz w:val="18"/>
          <w:szCs w:val="18"/>
        </w:rPr>
        <w:endnoteRef/>
      </w:r>
      <w:r w:rsidRPr="003F567D">
        <w:rPr>
          <w:rFonts w:ascii="Calibri" w:hAnsi="Calibri" w:cs="Calibri"/>
          <w:sz w:val="18"/>
          <w:szCs w:val="18"/>
        </w:rPr>
        <w:t xml:space="preserve"> Musallam KM, et al. . Preoperative </w:t>
      </w:r>
      <w:proofErr w:type="spellStart"/>
      <w:r w:rsidRPr="003F567D">
        <w:rPr>
          <w:rFonts w:ascii="Calibri" w:hAnsi="Calibri" w:cs="Calibri"/>
          <w:sz w:val="18"/>
          <w:szCs w:val="18"/>
        </w:rPr>
        <w:t>anaemia</w:t>
      </w:r>
      <w:proofErr w:type="spellEnd"/>
      <w:r w:rsidRPr="003F567D">
        <w:rPr>
          <w:rFonts w:ascii="Calibri" w:hAnsi="Calibri" w:cs="Calibri"/>
          <w:sz w:val="18"/>
          <w:szCs w:val="18"/>
        </w:rPr>
        <w:t xml:space="preserve"> and postoperative outcomes in non-cardiac surgery: a retrospective cohort study. Lancet. 2011 Oct 15;378(9800):1396-407</w:t>
      </w:r>
    </w:p>
  </w:endnote>
  <w:endnote w:id="3">
    <w:p w14:paraId="4CB70DF6" w14:textId="77777777" w:rsidR="003C16E9" w:rsidRPr="003F567D" w:rsidRDefault="003C16E9" w:rsidP="003C16E9">
      <w:pPr>
        <w:pStyle w:val="EndnoteText"/>
        <w:rPr>
          <w:rFonts w:ascii="Calibri" w:hAnsi="Calibri" w:cs="Calibri"/>
          <w:sz w:val="18"/>
          <w:szCs w:val="18"/>
        </w:rPr>
      </w:pPr>
      <w:r w:rsidRPr="003F567D">
        <w:rPr>
          <w:rStyle w:val="EndnoteReference"/>
          <w:rFonts w:ascii="Calibri" w:hAnsi="Calibri" w:cs="Calibri"/>
          <w:sz w:val="18"/>
          <w:szCs w:val="18"/>
        </w:rPr>
        <w:endnoteRef/>
      </w:r>
      <w:r w:rsidRPr="003F567D">
        <w:rPr>
          <w:rFonts w:ascii="Calibri" w:hAnsi="Calibri" w:cs="Calibri"/>
          <w:sz w:val="18"/>
          <w:szCs w:val="18"/>
        </w:rPr>
        <w:t xml:space="preserve"> Myles, P. S., Richards, T., Klein, A., Wood, E. M., Wallace, S., Shulman, M. A., Martin, C., Bellomo, R., Corcoran, T. B., Peyton, P. J., Story, D. A., Leslie, K., Forbes, A., &amp; RELIEF Trial Investigators (2022). Postoperative </w:t>
      </w:r>
      <w:proofErr w:type="spellStart"/>
      <w:r w:rsidRPr="003F567D">
        <w:rPr>
          <w:rFonts w:ascii="Calibri" w:hAnsi="Calibri" w:cs="Calibri"/>
          <w:sz w:val="18"/>
          <w:szCs w:val="18"/>
        </w:rPr>
        <w:t>anaemia</w:t>
      </w:r>
      <w:proofErr w:type="spellEnd"/>
      <w:r w:rsidRPr="003F567D">
        <w:rPr>
          <w:rFonts w:ascii="Calibri" w:hAnsi="Calibri" w:cs="Calibri"/>
          <w:sz w:val="18"/>
          <w:szCs w:val="18"/>
        </w:rPr>
        <w:t xml:space="preserve"> and patient-</w:t>
      </w:r>
      <w:proofErr w:type="spellStart"/>
      <w:r w:rsidRPr="003F567D">
        <w:rPr>
          <w:rFonts w:ascii="Calibri" w:hAnsi="Calibri" w:cs="Calibri"/>
          <w:sz w:val="18"/>
          <w:szCs w:val="18"/>
        </w:rPr>
        <w:t>centred</w:t>
      </w:r>
      <w:proofErr w:type="spellEnd"/>
      <w:r w:rsidRPr="003F567D">
        <w:rPr>
          <w:rFonts w:ascii="Calibri" w:hAnsi="Calibri" w:cs="Calibri"/>
          <w:sz w:val="18"/>
          <w:szCs w:val="18"/>
        </w:rPr>
        <w:t xml:space="preserve"> outcomes after major abdominal surgery: a retrospective cohort study. </w:t>
      </w:r>
      <w:r w:rsidRPr="003F567D">
        <w:rPr>
          <w:rFonts w:ascii="Calibri" w:hAnsi="Calibri" w:cs="Calibri"/>
          <w:i/>
          <w:iCs/>
          <w:sz w:val="18"/>
          <w:szCs w:val="18"/>
        </w:rPr>
        <w:t xml:space="preserve">British journal of </w:t>
      </w:r>
      <w:proofErr w:type="spellStart"/>
      <w:r w:rsidRPr="003F567D">
        <w:rPr>
          <w:rFonts w:ascii="Calibri" w:hAnsi="Calibri" w:cs="Calibri"/>
          <w:i/>
          <w:iCs/>
          <w:sz w:val="18"/>
          <w:szCs w:val="18"/>
        </w:rPr>
        <w:t>anaesthesia</w:t>
      </w:r>
      <w:proofErr w:type="spellEnd"/>
      <w:r w:rsidRPr="003F567D">
        <w:rPr>
          <w:rFonts w:ascii="Calibri" w:hAnsi="Calibri" w:cs="Calibri"/>
          <w:sz w:val="18"/>
          <w:szCs w:val="18"/>
        </w:rPr>
        <w:t>, </w:t>
      </w:r>
      <w:r w:rsidRPr="003F567D">
        <w:rPr>
          <w:rFonts w:ascii="Calibri" w:hAnsi="Calibri" w:cs="Calibri"/>
          <w:i/>
          <w:iCs/>
          <w:sz w:val="18"/>
          <w:szCs w:val="18"/>
        </w:rPr>
        <w:t>129</w:t>
      </w:r>
      <w:r w:rsidRPr="003F567D">
        <w:rPr>
          <w:rFonts w:ascii="Calibri" w:hAnsi="Calibri" w:cs="Calibri"/>
          <w:sz w:val="18"/>
          <w:szCs w:val="18"/>
        </w:rPr>
        <w:t>(3), 346–354. https://doi.org/10.1016/j.bja.2022.06.014</w:t>
      </w:r>
    </w:p>
  </w:endnote>
  <w:endnote w:id="4">
    <w:p w14:paraId="045630D3" w14:textId="77777777" w:rsidR="003C16E9" w:rsidRPr="003F567D" w:rsidRDefault="003C16E9" w:rsidP="003C16E9">
      <w:pPr>
        <w:pStyle w:val="EndnoteText"/>
        <w:rPr>
          <w:rFonts w:ascii="Calibri" w:hAnsi="Calibri" w:cs="Calibri"/>
          <w:sz w:val="18"/>
          <w:szCs w:val="18"/>
        </w:rPr>
      </w:pPr>
      <w:r w:rsidRPr="003F567D">
        <w:rPr>
          <w:rStyle w:val="EndnoteReference"/>
          <w:rFonts w:ascii="Calibri" w:hAnsi="Calibri" w:cs="Calibri"/>
          <w:sz w:val="18"/>
          <w:szCs w:val="18"/>
        </w:rPr>
        <w:endnoteRef/>
      </w:r>
      <w:r w:rsidRPr="003F567D">
        <w:rPr>
          <w:rFonts w:ascii="Calibri" w:hAnsi="Calibri" w:cs="Calibri"/>
          <w:sz w:val="18"/>
          <w:szCs w:val="18"/>
        </w:rPr>
        <w:t xml:space="preserve"> van den Boom, W., Schroeder, R. A., Manning, M. W., </w:t>
      </w:r>
      <w:proofErr w:type="spellStart"/>
      <w:r w:rsidRPr="003F567D">
        <w:rPr>
          <w:rFonts w:ascii="Calibri" w:hAnsi="Calibri" w:cs="Calibri"/>
          <w:sz w:val="18"/>
          <w:szCs w:val="18"/>
        </w:rPr>
        <w:t>Setji</w:t>
      </w:r>
      <w:proofErr w:type="spellEnd"/>
      <w:r w:rsidRPr="003F567D">
        <w:rPr>
          <w:rFonts w:ascii="Calibri" w:hAnsi="Calibri" w:cs="Calibri"/>
          <w:sz w:val="18"/>
          <w:szCs w:val="18"/>
        </w:rPr>
        <w:t xml:space="preserve">, T. L., </w:t>
      </w:r>
      <w:proofErr w:type="spellStart"/>
      <w:r w:rsidRPr="003F567D">
        <w:rPr>
          <w:rFonts w:ascii="Calibri" w:hAnsi="Calibri" w:cs="Calibri"/>
          <w:sz w:val="18"/>
          <w:szCs w:val="18"/>
        </w:rPr>
        <w:t>Fiestan</w:t>
      </w:r>
      <w:proofErr w:type="spellEnd"/>
      <w:r w:rsidRPr="003F567D">
        <w:rPr>
          <w:rFonts w:ascii="Calibri" w:hAnsi="Calibri" w:cs="Calibri"/>
          <w:sz w:val="18"/>
          <w:szCs w:val="18"/>
        </w:rPr>
        <w:t>, G. O., &amp; Dunson, D. B. (2018). Effect of A1C and Glucose on Postoperative Mortality in Noncardiac and Cardiac Surgeries. Diabetes care, 41(4), 782–788.</w:t>
      </w:r>
    </w:p>
  </w:endnote>
  <w:endnote w:id="5">
    <w:p w14:paraId="2C5E5EAE" w14:textId="77777777" w:rsidR="0049148F" w:rsidRPr="003F567D" w:rsidRDefault="0049148F" w:rsidP="0049148F">
      <w:pPr>
        <w:pStyle w:val="EndnoteText"/>
        <w:rPr>
          <w:rFonts w:ascii="Calibri" w:hAnsi="Calibri" w:cs="Calibri"/>
          <w:sz w:val="18"/>
          <w:szCs w:val="18"/>
        </w:rPr>
      </w:pPr>
      <w:r w:rsidRPr="003F567D">
        <w:rPr>
          <w:rStyle w:val="EndnoteReference"/>
          <w:rFonts w:ascii="Calibri" w:hAnsi="Calibri" w:cs="Calibri"/>
          <w:sz w:val="18"/>
          <w:szCs w:val="18"/>
        </w:rPr>
        <w:endnoteRef/>
      </w:r>
      <w:r w:rsidRPr="003F567D">
        <w:rPr>
          <w:rFonts w:ascii="Calibri" w:hAnsi="Calibri" w:cs="Calibri"/>
          <w:sz w:val="18"/>
          <w:szCs w:val="18"/>
        </w:rPr>
        <w:t xml:space="preserve"> Marchant, M. H., et al. (2009). The effect of preoperative glycemic control on postoperative infection rates in total joint arthroplasty. The Journal of Bone and Joint Surgery, 91(4), 1177–1185.</w:t>
      </w:r>
    </w:p>
  </w:endnote>
  <w:endnote w:id="6">
    <w:p w14:paraId="3B62F1A2" w14:textId="77777777" w:rsidR="0049148F" w:rsidRPr="003F567D" w:rsidRDefault="0049148F" w:rsidP="0049148F">
      <w:pPr>
        <w:pStyle w:val="EndnoteText"/>
        <w:rPr>
          <w:rFonts w:ascii="Calibri" w:hAnsi="Calibri" w:cs="Calibri"/>
          <w:sz w:val="18"/>
          <w:szCs w:val="18"/>
        </w:rPr>
      </w:pPr>
      <w:r w:rsidRPr="003F567D">
        <w:rPr>
          <w:rStyle w:val="EndnoteReference"/>
          <w:rFonts w:ascii="Calibri" w:hAnsi="Calibri" w:cs="Calibri"/>
          <w:sz w:val="18"/>
          <w:szCs w:val="18"/>
        </w:rPr>
        <w:endnoteRef/>
      </w:r>
      <w:r w:rsidRPr="003F567D">
        <w:rPr>
          <w:rFonts w:ascii="Calibri" w:hAnsi="Calibri" w:cs="Calibri"/>
          <w:sz w:val="18"/>
          <w:szCs w:val="18"/>
        </w:rPr>
        <w:t xml:space="preserve"> Zhang, FQ., Yang, YZ., Li, PF. et al. Impact of preoperative anemia on patients undergoing total joint replacement of lower extremity: a systematic review and meta-analysis. J </w:t>
      </w:r>
      <w:proofErr w:type="spellStart"/>
      <w:r w:rsidRPr="003F567D">
        <w:rPr>
          <w:rFonts w:ascii="Calibri" w:hAnsi="Calibri" w:cs="Calibri"/>
          <w:sz w:val="18"/>
          <w:szCs w:val="18"/>
        </w:rPr>
        <w:t>Orthop</w:t>
      </w:r>
      <w:proofErr w:type="spellEnd"/>
      <w:r w:rsidRPr="003F567D">
        <w:rPr>
          <w:rFonts w:ascii="Calibri" w:hAnsi="Calibri" w:cs="Calibri"/>
          <w:sz w:val="18"/>
          <w:szCs w:val="18"/>
        </w:rPr>
        <w:t xml:space="preserve"> Surg Res 19, 249 (2024). https://doi.org/10.1186/s13018-024-04706-y</w:t>
      </w:r>
    </w:p>
  </w:endnote>
  <w:endnote w:id="7">
    <w:p w14:paraId="5DDCA513" w14:textId="77777777" w:rsidR="0049148F" w:rsidRPr="003F567D" w:rsidRDefault="0049148F" w:rsidP="0049148F">
      <w:pPr>
        <w:pStyle w:val="EndnoteText"/>
        <w:rPr>
          <w:rFonts w:ascii="Calibri" w:hAnsi="Calibri" w:cs="Calibri"/>
          <w:sz w:val="18"/>
          <w:szCs w:val="18"/>
        </w:rPr>
      </w:pPr>
      <w:r w:rsidRPr="003F567D">
        <w:rPr>
          <w:rStyle w:val="EndnoteReference"/>
          <w:rFonts w:ascii="Calibri" w:hAnsi="Calibri" w:cs="Calibri"/>
          <w:sz w:val="18"/>
          <w:szCs w:val="18"/>
        </w:rPr>
        <w:endnoteRef/>
      </w:r>
      <w:r w:rsidRPr="003F567D">
        <w:rPr>
          <w:rFonts w:ascii="Calibri" w:hAnsi="Calibri" w:cs="Calibri"/>
          <w:sz w:val="18"/>
          <w:szCs w:val="18"/>
        </w:rPr>
        <w:t xml:space="preserve"> </w:t>
      </w:r>
      <w:proofErr w:type="spellStart"/>
      <w:r w:rsidRPr="003F567D">
        <w:rPr>
          <w:rFonts w:ascii="Calibri" w:hAnsi="Calibri" w:cs="Calibri"/>
          <w:sz w:val="18"/>
          <w:szCs w:val="18"/>
        </w:rPr>
        <w:t>Seicean</w:t>
      </w:r>
      <w:proofErr w:type="spellEnd"/>
      <w:r w:rsidRPr="003F567D">
        <w:rPr>
          <w:rFonts w:ascii="Calibri" w:hAnsi="Calibri" w:cs="Calibri"/>
          <w:sz w:val="18"/>
          <w:szCs w:val="18"/>
        </w:rPr>
        <w:t xml:space="preserve">, Andreea MPH, PhD*; </w:t>
      </w:r>
      <w:proofErr w:type="spellStart"/>
      <w:r w:rsidRPr="003F567D">
        <w:rPr>
          <w:rFonts w:ascii="Calibri" w:hAnsi="Calibri" w:cs="Calibri"/>
          <w:sz w:val="18"/>
          <w:szCs w:val="18"/>
        </w:rPr>
        <w:t>Seicean</w:t>
      </w:r>
      <w:proofErr w:type="spellEnd"/>
      <w:r w:rsidRPr="003F567D">
        <w:rPr>
          <w:rFonts w:ascii="Calibri" w:hAnsi="Calibri" w:cs="Calibri"/>
          <w:sz w:val="18"/>
          <w:szCs w:val="18"/>
        </w:rPr>
        <w:t xml:space="preserve">, </w:t>
      </w:r>
      <w:proofErr w:type="spellStart"/>
      <w:r w:rsidRPr="003F567D">
        <w:rPr>
          <w:rFonts w:ascii="Calibri" w:hAnsi="Calibri" w:cs="Calibri"/>
          <w:sz w:val="18"/>
          <w:szCs w:val="18"/>
        </w:rPr>
        <w:t>Sinziana</w:t>
      </w:r>
      <w:proofErr w:type="spellEnd"/>
      <w:r w:rsidRPr="003F567D">
        <w:rPr>
          <w:rFonts w:ascii="Calibri" w:hAnsi="Calibri" w:cs="Calibri"/>
          <w:sz w:val="18"/>
          <w:szCs w:val="18"/>
        </w:rPr>
        <w:t xml:space="preserve"> MD, MPH, PhD†,‡; Alan, Nima BS§; Schiltz, Nicholas K. PhD*; Rosenbaum, Benjamin P. MD¶; Jones, Paul K. PhD*; Kattan, Michael W. PhD‖; Neuhauser, Duncan PhD*; Weil, Robert J. MD¶. Preoperative Anemia and Perioperative Outcomes in Patients Who Undergo Elective Spine Surgery. Spine 38(15):p 1331-1341, July 01, 2013. | DOI: 10.1097/BRS.0b013e3182912c6b</w:t>
      </w:r>
    </w:p>
  </w:endnote>
  <w:endnote w:id="8">
    <w:p w14:paraId="74B59FD8" w14:textId="77777777" w:rsidR="0049148F" w:rsidRPr="003F567D" w:rsidRDefault="0049148F" w:rsidP="0049148F">
      <w:pPr>
        <w:pStyle w:val="EndnoteText"/>
        <w:rPr>
          <w:rFonts w:ascii="Calibri" w:hAnsi="Calibri" w:cs="Calibri"/>
          <w:sz w:val="18"/>
          <w:szCs w:val="18"/>
        </w:rPr>
      </w:pPr>
      <w:r w:rsidRPr="003F567D">
        <w:rPr>
          <w:rStyle w:val="EndnoteReference"/>
          <w:rFonts w:ascii="Calibri" w:hAnsi="Calibri" w:cs="Calibri"/>
          <w:sz w:val="18"/>
          <w:szCs w:val="18"/>
        </w:rPr>
        <w:endnoteRef/>
      </w:r>
      <w:r w:rsidRPr="003F567D">
        <w:rPr>
          <w:rFonts w:ascii="Calibri" w:hAnsi="Calibri" w:cs="Calibri"/>
          <w:sz w:val="18"/>
          <w:szCs w:val="18"/>
        </w:rPr>
        <w:t xml:space="preserve"> Takashima, J., Kobayashi, H., Koizumi, A., </w:t>
      </w:r>
      <w:proofErr w:type="spellStart"/>
      <w:r w:rsidRPr="003F567D">
        <w:rPr>
          <w:rFonts w:ascii="Calibri" w:hAnsi="Calibri" w:cs="Calibri"/>
          <w:sz w:val="18"/>
          <w:szCs w:val="18"/>
        </w:rPr>
        <w:t>Shigehara</w:t>
      </w:r>
      <w:proofErr w:type="spellEnd"/>
      <w:r w:rsidRPr="003F567D">
        <w:rPr>
          <w:rFonts w:ascii="Calibri" w:hAnsi="Calibri" w:cs="Calibri"/>
          <w:sz w:val="18"/>
          <w:szCs w:val="18"/>
        </w:rPr>
        <w:t>, F., Yamazaki, K., Fujimoto, D., &amp; Miura, F. (2025). Impact of preoperative anemia and perioperative transfusion on short-term outcomes in colorectal cancer surgery: The role of iron supplementation. Annals of Gastroenterological Surgery, 9(2), 288–297. https://doi.org/10.1002/ags3.12867</w:t>
      </w:r>
    </w:p>
  </w:endnote>
  <w:endnote w:id="9">
    <w:p w14:paraId="76C2086B" w14:textId="77777777" w:rsidR="0049148F" w:rsidRPr="003F567D" w:rsidRDefault="0049148F" w:rsidP="0049148F">
      <w:pPr>
        <w:pStyle w:val="EndnoteText"/>
        <w:rPr>
          <w:rFonts w:ascii="Calibri" w:hAnsi="Calibri" w:cs="Calibri"/>
          <w:sz w:val="18"/>
          <w:szCs w:val="18"/>
        </w:rPr>
      </w:pPr>
      <w:r w:rsidRPr="003F567D">
        <w:rPr>
          <w:rStyle w:val="EndnoteReference"/>
          <w:rFonts w:ascii="Calibri" w:hAnsi="Calibri" w:cs="Calibri"/>
          <w:sz w:val="18"/>
          <w:szCs w:val="18"/>
        </w:rPr>
        <w:endnoteRef/>
      </w:r>
      <w:r w:rsidRPr="003F567D">
        <w:rPr>
          <w:rFonts w:ascii="Calibri" w:hAnsi="Calibri" w:cs="Calibri"/>
          <w:sz w:val="18"/>
          <w:szCs w:val="18"/>
        </w:rPr>
        <w:t xml:space="preserve"> Garg, Rajesh MD</w:t>
      </w:r>
      <w:r w:rsidRPr="003F567D">
        <w:rPr>
          <w:rFonts w:ascii="Cambria Math" w:hAnsi="Cambria Math" w:cs="Cambria Math"/>
          <w:sz w:val="18"/>
          <w:szCs w:val="18"/>
        </w:rPr>
        <w:t>∗</w:t>
      </w:r>
      <w:r w:rsidRPr="003F567D">
        <w:rPr>
          <w:rFonts w:ascii="Calibri" w:hAnsi="Calibri" w:cs="Calibri"/>
          <w:sz w:val="18"/>
          <w:szCs w:val="18"/>
        </w:rPr>
        <w:t>; Schuman, Brooke BS</w:t>
      </w:r>
      <w:r w:rsidRPr="003F567D">
        <w:rPr>
          <w:rFonts w:ascii="Cambria Math" w:hAnsi="Cambria Math" w:cs="Cambria Math"/>
          <w:sz w:val="18"/>
          <w:szCs w:val="18"/>
        </w:rPr>
        <w:t>∗</w:t>
      </w:r>
      <w:r w:rsidRPr="003F567D">
        <w:rPr>
          <w:rFonts w:ascii="Calibri" w:hAnsi="Calibri" w:cs="Calibri"/>
          <w:sz w:val="18"/>
          <w:szCs w:val="18"/>
        </w:rPr>
        <w:t>; Bader, Angela MD†; Hurwitz, Shelley PhD</w:t>
      </w:r>
      <w:r w:rsidRPr="003F567D">
        <w:rPr>
          <w:rFonts w:ascii="Cambria Math" w:hAnsi="Cambria Math" w:cs="Cambria Math"/>
          <w:sz w:val="18"/>
          <w:szCs w:val="18"/>
        </w:rPr>
        <w:t>∗</w:t>
      </w:r>
      <w:r w:rsidRPr="003F567D">
        <w:rPr>
          <w:rFonts w:ascii="Calibri" w:hAnsi="Calibri" w:cs="Calibri"/>
          <w:sz w:val="18"/>
          <w:szCs w:val="18"/>
        </w:rPr>
        <w:t>; Turchin, Alexander MD, MS</w:t>
      </w:r>
      <w:r w:rsidRPr="003F567D">
        <w:rPr>
          <w:rFonts w:ascii="Cambria Math" w:hAnsi="Cambria Math" w:cs="Cambria Math"/>
          <w:sz w:val="18"/>
          <w:szCs w:val="18"/>
        </w:rPr>
        <w:t>∗</w:t>
      </w:r>
      <w:r w:rsidRPr="003F567D">
        <w:rPr>
          <w:rFonts w:ascii="Calibri" w:hAnsi="Calibri" w:cs="Calibri"/>
          <w:sz w:val="18"/>
          <w:szCs w:val="18"/>
        </w:rPr>
        <w:t>,‡; Underwood, Patricia PhD§; Metzger, Cheyenne NP</w:t>
      </w:r>
      <w:r w:rsidRPr="003F567D">
        <w:rPr>
          <w:rFonts w:ascii="Cambria Math" w:hAnsi="Cambria Math" w:cs="Cambria Math"/>
          <w:sz w:val="18"/>
          <w:szCs w:val="18"/>
        </w:rPr>
        <w:t>∗</w:t>
      </w:r>
      <w:r w:rsidRPr="003F567D">
        <w:rPr>
          <w:rFonts w:ascii="Calibri" w:hAnsi="Calibri" w:cs="Calibri"/>
          <w:sz w:val="18"/>
          <w:szCs w:val="18"/>
        </w:rPr>
        <w:t>; Rein, Raquel NP</w:t>
      </w:r>
      <w:r w:rsidRPr="003F567D">
        <w:rPr>
          <w:rFonts w:ascii="Cambria Math" w:hAnsi="Cambria Math" w:cs="Cambria Math"/>
          <w:sz w:val="18"/>
          <w:szCs w:val="18"/>
        </w:rPr>
        <w:t>∗</w:t>
      </w:r>
      <w:r w:rsidRPr="003F567D">
        <w:rPr>
          <w:rFonts w:ascii="Calibri" w:hAnsi="Calibri" w:cs="Calibri"/>
          <w:sz w:val="18"/>
          <w:szCs w:val="18"/>
        </w:rPr>
        <w:t>; Lortie, Meghan NP</w:t>
      </w:r>
      <w:r w:rsidRPr="003F567D">
        <w:rPr>
          <w:rFonts w:ascii="Cambria Math" w:hAnsi="Cambria Math" w:cs="Cambria Math"/>
          <w:sz w:val="18"/>
          <w:szCs w:val="18"/>
        </w:rPr>
        <w:t>∗</w:t>
      </w:r>
      <w:r w:rsidRPr="003F567D">
        <w:rPr>
          <w:rFonts w:ascii="Calibri" w:hAnsi="Calibri" w:cs="Calibri"/>
          <w:sz w:val="18"/>
          <w:szCs w:val="18"/>
        </w:rPr>
        <w:t>. Effect of Preoperative Diabetes Management on Glycemic Control and Clinical Outcomes After Elective Surgery. Annals of Surgery 267(5):p 858-862, May 2018. | DOI: 10.1097/SLA.0000000000002323</w:t>
      </w:r>
    </w:p>
  </w:endnote>
  <w:endnote w:id="10">
    <w:p w14:paraId="0CC9E0E4" w14:textId="77777777" w:rsidR="0049148F" w:rsidRPr="003F567D" w:rsidRDefault="0049148F" w:rsidP="0049148F">
      <w:pPr>
        <w:pStyle w:val="EndnoteText"/>
        <w:rPr>
          <w:rFonts w:ascii="Calibri" w:hAnsi="Calibri" w:cs="Calibri"/>
          <w:sz w:val="18"/>
          <w:szCs w:val="18"/>
        </w:rPr>
      </w:pPr>
      <w:r w:rsidRPr="003F567D">
        <w:rPr>
          <w:rStyle w:val="EndnoteReference"/>
          <w:rFonts w:ascii="Calibri" w:hAnsi="Calibri" w:cs="Calibri"/>
          <w:sz w:val="18"/>
          <w:szCs w:val="18"/>
        </w:rPr>
        <w:endnoteRef/>
      </w:r>
      <w:r w:rsidRPr="003F567D">
        <w:rPr>
          <w:rFonts w:ascii="Calibri" w:hAnsi="Calibri" w:cs="Calibri"/>
          <w:sz w:val="18"/>
          <w:szCs w:val="18"/>
        </w:rPr>
        <w:t xml:space="preserve"> Nie Y, Ping A, Liu B, Meng H. The impact of preoperative anemia on postoperative anemia and related nutritional abnormalities after bariatric surgery: a multicenter cohort study. Front </w:t>
      </w:r>
      <w:proofErr w:type="spellStart"/>
      <w:r w:rsidRPr="003F567D">
        <w:rPr>
          <w:rFonts w:ascii="Calibri" w:hAnsi="Calibri" w:cs="Calibri"/>
          <w:sz w:val="18"/>
          <w:szCs w:val="18"/>
        </w:rPr>
        <w:t>Nutr</w:t>
      </w:r>
      <w:proofErr w:type="spellEnd"/>
      <w:r w:rsidRPr="003F567D">
        <w:rPr>
          <w:rFonts w:ascii="Calibri" w:hAnsi="Calibri" w:cs="Calibri"/>
          <w:sz w:val="18"/>
          <w:szCs w:val="18"/>
        </w:rPr>
        <w:t xml:space="preserve">. 2025 Jul 9;12:1616340. </w:t>
      </w:r>
      <w:proofErr w:type="spellStart"/>
      <w:r w:rsidRPr="003F567D">
        <w:rPr>
          <w:rFonts w:ascii="Calibri" w:hAnsi="Calibri" w:cs="Calibri"/>
          <w:sz w:val="18"/>
          <w:szCs w:val="18"/>
        </w:rPr>
        <w:t>doi</w:t>
      </w:r>
      <w:proofErr w:type="spellEnd"/>
      <w:r w:rsidRPr="003F567D">
        <w:rPr>
          <w:rFonts w:ascii="Calibri" w:hAnsi="Calibri" w:cs="Calibri"/>
          <w:sz w:val="18"/>
          <w:szCs w:val="18"/>
        </w:rPr>
        <w:t>: 10.3389/fnut.2025.1616340. PMID: 40709336; PMCID: PMC12288682.</w:t>
      </w:r>
    </w:p>
  </w:endnote>
  <w:endnote w:id="11">
    <w:p w14:paraId="761F7162" w14:textId="33C7C9CA" w:rsidR="00DE3A1C" w:rsidRPr="003F567D" w:rsidRDefault="00DE3A1C" w:rsidP="00DE3A1C">
      <w:pPr>
        <w:pStyle w:val="EndnoteText"/>
        <w:rPr>
          <w:rFonts w:ascii="Calibri" w:hAnsi="Calibri" w:cs="Calibri"/>
          <w:sz w:val="18"/>
          <w:szCs w:val="18"/>
        </w:rPr>
      </w:pPr>
      <w:r w:rsidRPr="003F567D">
        <w:rPr>
          <w:rStyle w:val="EndnoteReference"/>
          <w:rFonts w:ascii="Calibri" w:hAnsi="Calibri" w:cs="Calibri"/>
          <w:sz w:val="18"/>
          <w:szCs w:val="18"/>
        </w:rPr>
        <w:endnoteRef/>
      </w:r>
      <w:r w:rsidRPr="003F567D">
        <w:rPr>
          <w:rFonts w:ascii="Calibri" w:hAnsi="Calibri" w:cs="Calibri"/>
          <w:sz w:val="18"/>
          <w:szCs w:val="18"/>
        </w:rPr>
        <w:t xml:space="preserve"> </w:t>
      </w:r>
      <w:r w:rsidR="001863E4" w:rsidRPr="001863E4">
        <w:rPr>
          <w:rFonts w:ascii="Calibri" w:hAnsi="Calibri" w:cs="Calibri"/>
          <w:sz w:val="18"/>
          <w:szCs w:val="18"/>
        </w:rPr>
        <w:t xml:space="preserve">Khan, N. A., Ghali, W. A., &amp; Cagliero, E. (2018). </w:t>
      </w:r>
      <w:r w:rsidR="001863E4" w:rsidRPr="001863E4">
        <w:rPr>
          <w:rFonts w:ascii="Calibri" w:hAnsi="Calibri" w:cs="Calibri"/>
          <w:i/>
          <w:iCs/>
          <w:sz w:val="18"/>
          <w:szCs w:val="18"/>
        </w:rPr>
        <w:t>Perioperative management of blood glucose in adults with diabetes mellitus</w:t>
      </w:r>
      <w:r w:rsidR="001863E4" w:rsidRPr="001863E4">
        <w:rPr>
          <w:rFonts w:ascii="Calibri" w:hAnsi="Calibri" w:cs="Calibri"/>
          <w:sz w:val="18"/>
          <w:szCs w:val="18"/>
        </w:rPr>
        <w:t xml:space="preserve">. In D. M. Nathan &amp; S. B. Jones (Section Editors), </w:t>
      </w:r>
      <w:r w:rsidR="001863E4" w:rsidRPr="001863E4">
        <w:rPr>
          <w:rFonts w:ascii="Calibri" w:hAnsi="Calibri" w:cs="Calibri"/>
          <w:i/>
          <w:iCs/>
          <w:sz w:val="18"/>
          <w:szCs w:val="18"/>
        </w:rPr>
        <w:t>UpToDate</w:t>
      </w:r>
      <w:r w:rsidR="001863E4" w:rsidRPr="001863E4">
        <w:rPr>
          <w:rFonts w:ascii="Calibri" w:hAnsi="Calibri" w:cs="Calibri"/>
          <w:sz w:val="18"/>
          <w:szCs w:val="18"/>
        </w:rPr>
        <w:t xml:space="preserve">. Retrieved [Month Day, Year], from </w:t>
      </w:r>
      <w:hyperlink r:id="rId1" w:tgtFrame="_new" w:history="1">
        <w:r w:rsidR="001863E4" w:rsidRPr="001863E4">
          <w:rPr>
            <w:rStyle w:val="Hyperlink"/>
            <w:rFonts w:ascii="Calibri" w:hAnsi="Calibri" w:cs="Calibri"/>
            <w:sz w:val="18"/>
            <w:szCs w:val="18"/>
          </w:rPr>
          <w:t>https://www.uptodate.com/contents/perioperative-management-of-blood-glucose-in-adults-with-diabetes-mellitus</w:t>
        </w:r>
      </w:hyperlink>
    </w:p>
  </w:endnote>
  <w:endnote w:id="12">
    <w:p w14:paraId="73E3FE12" w14:textId="67BFBD9F" w:rsidR="00B114AC" w:rsidRPr="00B114AC" w:rsidRDefault="00B114AC">
      <w:pPr>
        <w:pStyle w:val="EndnoteText"/>
        <w:rPr>
          <w:rFonts w:ascii="Calibri" w:hAnsi="Calibri" w:cs="Calibri"/>
          <w:sz w:val="18"/>
          <w:szCs w:val="18"/>
        </w:rPr>
      </w:pPr>
      <w:r>
        <w:rPr>
          <w:rStyle w:val="EndnoteReference"/>
        </w:rPr>
        <w:endnoteRef/>
      </w:r>
      <w:r>
        <w:t xml:space="preserve"> </w:t>
      </w:r>
      <w:r w:rsidRPr="00B114AC">
        <w:rPr>
          <w:rFonts w:ascii="Calibri" w:hAnsi="Calibri" w:cs="Calibri"/>
          <w:sz w:val="18"/>
          <w:szCs w:val="18"/>
        </w:rPr>
        <w:t>Wagner, M., &amp; Waljee, J. (2025). SGLT2 inhibitors in perioperative care—Continue or hold? JAMA Surgery, 160(4), 430–431. https://doi.org/10.1001/jamasurg.2024.7046</w:t>
      </w:r>
    </w:p>
  </w:endnote>
  <w:endnote w:id="13">
    <w:p w14:paraId="71CB9182" w14:textId="03DE8EC9" w:rsidR="00B114AC" w:rsidRPr="00823452" w:rsidRDefault="00B114AC">
      <w:pPr>
        <w:pStyle w:val="EndnoteText"/>
      </w:pPr>
      <w:r>
        <w:rPr>
          <w:rStyle w:val="EndnoteReference"/>
        </w:rPr>
        <w:endnoteRef/>
      </w:r>
      <w:r>
        <w:t xml:space="preserve"> </w:t>
      </w:r>
      <w:r w:rsidRPr="00B114AC">
        <w:rPr>
          <w:rFonts w:ascii="Calibri" w:hAnsi="Calibri" w:cs="Calibri"/>
          <w:sz w:val="18"/>
          <w:szCs w:val="18"/>
        </w:rPr>
        <w:t xml:space="preserve">Penning-van Beest, F. J. A., Koerselman, J., &amp; Herings, R. M. C. (2008). Risk of major bleeding during concomitant use of antibiotic drugs and coumarin anticoagulants. Journal of Thrombosis and Haemostasis, 6(2), 284–290. </w:t>
      </w:r>
      <w:r w:rsidRPr="00823452">
        <w:rPr>
          <w:rFonts w:ascii="Calibri" w:hAnsi="Calibri" w:cs="Calibri"/>
          <w:sz w:val="18"/>
          <w:szCs w:val="18"/>
        </w:rPr>
        <w:t>https://doi.org/10.1111/j.1538-7836.2008.02844.x</w:t>
      </w:r>
    </w:p>
  </w:endnote>
  <w:endnote w:id="14">
    <w:p w14:paraId="63D8E635" w14:textId="77777777" w:rsidR="000A769F" w:rsidRPr="00823452" w:rsidRDefault="000A769F" w:rsidP="000A769F">
      <w:pPr>
        <w:pStyle w:val="EndnoteText"/>
        <w:rPr>
          <w:rFonts w:ascii="Calibri" w:hAnsi="Calibri" w:cs="Calibri"/>
          <w:sz w:val="18"/>
          <w:szCs w:val="18"/>
        </w:rPr>
      </w:pPr>
      <w:r w:rsidRPr="00823452">
        <w:rPr>
          <w:rStyle w:val="EndnoteReference"/>
          <w:rFonts w:ascii="Calibri" w:hAnsi="Calibri" w:cs="Calibri"/>
          <w:sz w:val="18"/>
          <w:szCs w:val="18"/>
        </w:rPr>
        <w:endnoteRef/>
      </w:r>
      <w:r w:rsidRPr="00823452">
        <w:rPr>
          <w:rFonts w:ascii="Calibri" w:hAnsi="Calibri" w:cs="Calibri"/>
          <w:sz w:val="18"/>
          <w:szCs w:val="18"/>
        </w:rPr>
        <w:t>Linnea M. Wilson, Shoshana J. Herzig, Edward R. Marcantonio, Michael A. Steinman, Mara A. Schonberg, Brianna X. Wang, Ella Hileman-Kaplan, Timothy S. Anderson; Management of Diabetes and Hyperglycemia in the Hospital: A Systematic Review of Clinical Practice Guidelines. </w:t>
      </w:r>
      <w:r w:rsidRPr="00823452">
        <w:rPr>
          <w:rFonts w:ascii="Calibri" w:hAnsi="Calibri" w:cs="Calibri"/>
          <w:i/>
          <w:iCs/>
          <w:sz w:val="18"/>
          <w:szCs w:val="18"/>
        </w:rPr>
        <w:t>Diabetes Care</w:t>
      </w:r>
      <w:r w:rsidRPr="00823452">
        <w:rPr>
          <w:rFonts w:ascii="Calibri" w:hAnsi="Calibri" w:cs="Calibri"/>
          <w:sz w:val="18"/>
          <w:szCs w:val="18"/>
        </w:rPr>
        <w:t> 20 March 2025; 48 (4): 655–664. </w:t>
      </w:r>
      <w:hyperlink r:id="rId2" w:tgtFrame="_blank" w:history="1">
        <w:r w:rsidRPr="00823452">
          <w:rPr>
            <w:rStyle w:val="Hyperlink"/>
            <w:rFonts w:ascii="Calibri" w:hAnsi="Calibri" w:cs="Calibri"/>
            <w:sz w:val="18"/>
            <w:szCs w:val="18"/>
          </w:rPr>
          <w:t>https://doi.org/10.2337/dc24-2510</w:t>
        </w:r>
      </w:hyperlink>
    </w:p>
  </w:endnote>
  <w:endnote w:id="15">
    <w:p w14:paraId="7ABF615C" w14:textId="77777777" w:rsidR="002A2FFD" w:rsidRPr="00823452" w:rsidRDefault="002A2FFD" w:rsidP="002A2FFD">
      <w:pPr>
        <w:pStyle w:val="EndnoteText"/>
        <w:rPr>
          <w:rFonts w:ascii="Calibri" w:hAnsi="Calibri" w:cs="Calibri"/>
          <w:sz w:val="18"/>
          <w:szCs w:val="18"/>
        </w:rPr>
      </w:pPr>
      <w:r w:rsidRPr="00823452">
        <w:rPr>
          <w:rStyle w:val="EndnoteReference"/>
          <w:rFonts w:ascii="Calibri" w:hAnsi="Calibri" w:cs="Calibri"/>
          <w:sz w:val="18"/>
          <w:szCs w:val="18"/>
        </w:rPr>
        <w:endnoteRef/>
      </w:r>
      <w:r w:rsidRPr="00823452">
        <w:rPr>
          <w:rFonts w:ascii="Calibri" w:hAnsi="Calibri" w:cs="Calibri"/>
          <w:sz w:val="18"/>
          <w:szCs w:val="18"/>
        </w:rPr>
        <w:t xml:space="preserve"> </w:t>
      </w:r>
      <w:r w:rsidRPr="00823452">
        <w:rPr>
          <w:rFonts w:ascii="Calibri" w:eastAsia="Calibri" w:hAnsi="Calibri" w:cs="Calibri"/>
          <w:sz w:val="18"/>
          <w:szCs w:val="18"/>
        </w:rPr>
        <w:t xml:space="preserve">Frisch A, Chandra P, Smiley D, Peng L, Rizzo M, Gatcliffe C, Hudson M, Mendoza J, Johnson R, Lin E, Umpierrez GE. </w:t>
      </w:r>
      <w:r w:rsidRPr="005021B2">
        <w:rPr>
          <w:rFonts w:ascii="Calibri" w:eastAsia="Calibri" w:hAnsi="Calibri" w:cs="Calibri"/>
          <w:sz w:val="18"/>
          <w:szCs w:val="18"/>
        </w:rPr>
        <w:t>Prevalence and clinical outcome of hyperglycemia in the perioperative period in noncardiac surgery</w:t>
      </w:r>
      <w:r w:rsidRPr="00823452">
        <w:rPr>
          <w:rFonts w:ascii="Calibri" w:eastAsia="Calibri" w:hAnsi="Calibri" w:cs="Calibri"/>
          <w:sz w:val="18"/>
          <w:szCs w:val="18"/>
        </w:rPr>
        <w:t>. Diabetes Care. 2010 Aug;33(8):1783-8. doi: 10.2337/dc10-0304. Epub 2010 Apr 30. PMID: 20435798; PMCID: PMC2909062.</w:t>
      </w:r>
    </w:p>
  </w:endnote>
  <w:endnote w:id="16">
    <w:p w14:paraId="1B070D72" w14:textId="77777777" w:rsidR="002A2FFD" w:rsidRPr="00823452" w:rsidRDefault="002A2FFD" w:rsidP="002A2FFD">
      <w:pPr>
        <w:pStyle w:val="EndnoteText"/>
        <w:rPr>
          <w:rFonts w:ascii="Calibri" w:hAnsi="Calibri" w:cs="Calibri"/>
          <w:sz w:val="18"/>
          <w:szCs w:val="18"/>
        </w:rPr>
      </w:pPr>
      <w:r w:rsidRPr="00823452">
        <w:rPr>
          <w:rStyle w:val="EndnoteReference"/>
          <w:rFonts w:ascii="Calibri" w:hAnsi="Calibri" w:cs="Calibri"/>
          <w:sz w:val="18"/>
          <w:szCs w:val="18"/>
        </w:rPr>
        <w:endnoteRef/>
      </w:r>
      <w:r w:rsidR="7F394DB4" w:rsidRPr="00823452">
        <w:rPr>
          <w:rFonts w:ascii="Calibri" w:hAnsi="Calibri" w:cs="Calibri"/>
          <w:sz w:val="18"/>
          <w:szCs w:val="18"/>
        </w:rPr>
        <w:t xml:space="preserve"> </w:t>
      </w:r>
      <w:r w:rsidR="7F394DB4" w:rsidRPr="00823452">
        <w:rPr>
          <w:rFonts w:ascii="Calibri" w:eastAsia="Calibri" w:hAnsi="Calibri" w:cs="Calibri"/>
          <w:sz w:val="18"/>
          <w:szCs w:val="18"/>
        </w:rPr>
        <w:t>Tao, Xu MAa; Matur, Abhijith V. MDb; Palmisciano, Paolo MDa; Conteh, Fatu S. MDc; Onyewadume, Louisa MDd; Duah, Henry O. MPHe; Shukla, Geet BAa; Vorster, Phillip BSa; Gupta, Sahil BSa; Chilakapati, Sai S. BSf; Adogwa, Owoicho MDa. Preoperative HbA1c and Postoperative Outcomes in Spine Surgery: A Systematic Review and Meta-Analysis. Spine 48(16):p 1155-1165, August 15, 2023. | DOI: 10.1097/BRS.0000000000004703</w:t>
      </w:r>
    </w:p>
  </w:endnote>
  <w:endnote w:id="17">
    <w:p w14:paraId="789B8E2D" w14:textId="77777777" w:rsidR="002A2FFD" w:rsidRPr="003F567D" w:rsidRDefault="002A2FFD" w:rsidP="002A2FFD">
      <w:pPr>
        <w:pStyle w:val="EndnoteText"/>
        <w:rPr>
          <w:rFonts w:ascii="Calibri" w:hAnsi="Calibri" w:cs="Calibri"/>
          <w:sz w:val="18"/>
          <w:szCs w:val="18"/>
        </w:rPr>
      </w:pPr>
      <w:r w:rsidRPr="00823452">
        <w:rPr>
          <w:rStyle w:val="EndnoteReference"/>
          <w:rFonts w:ascii="Calibri" w:hAnsi="Calibri" w:cs="Calibri"/>
          <w:sz w:val="18"/>
          <w:szCs w:val="18"/>
        </w:rPr>
        <w:endnoteRef/>
      </w:r>
      <w:r w:rsidR="7F394DB4" w:rsidRPr="00823452">
        <w:rPr>
          <w:rFonts w:ascii="Calibri" w:hAnsi="Calibri" w:cs="Calibri"/>
          <w:sz w:val="18"/>
          <w:szCs w:val="18"/>
        </w:rPr>
        <w:t xml:space="preserve"> </w:t>
      </w:r>
      <w:r w:rsidR="7F394DB4" w:rsidRPr="00823452">
        <w:rPr>
          <w:rFonts w:ascii="Calibri" w:eastAsia="Calibri" w:hAnsi="Calibri" w:cs="Calibri"/>
          <w:sz w:val="18"/>
          <w:szCs w:val="18"/>
        </w:rPr>
        <w:t xml:space="preserve">Sermkasemsin V, Rungreungvanich M, Apinyachon W, Sangasilpa I, Srichot W, Pisitsak C. Incidence and risk factors of intraoperative hyperglycemia in non-diabetic patients: a prospective observational study. BMC Anesthesiol. 2022 Sep 10;22(1):287. doi: </w:t>
      </w:r>
      <w:hyperlink r:id="rId3" w:anchor="Sec2" w:history="1">
        <w:r w:rsidR="7F394DB4" w:rsidRPr="00823452">
          <w:rPr>
            <w:rStyle w:val="Hyperlink"/>
            <w:rFonts w:ascii="Calibri" w:eastAsia="Calibri" w:hAnsi="Calibri" w:cs="Calibri"/>
            <w:sz w:val="18"/>
            <w:szCs w:val="18"/>
          </w:rPr>
          <w:t>10.1186/s12871-022-01829-9</w:t>
        </w:r>
      </w:hyperlink>
      <w:r w:rsidR="7F394DB4" w:rsidRPr="00823452">
        <w:rPr>
          <w:rFonts w:ascii="Calibri" w:eastAsia="Calibri" w:hAnsi="Calibri" w:cs="Calibri"/>
          <w:sz w:val="18"/>
          <w:szCs w:val="18"/>
        </w:rPr>
        <w:t>. PMID: 36088294; PMCID: PMC9463729.</w:t>
      </w:r>
    </w:p>
  </w:endnote>
  <w:endnote w:id="18">
    <w:p w14:paraId="02AA444B" w14:textId="77777777" w:rsidR="002A2FFD" w:rsidRPr="003F567D" w:rsidRDefault="002A2FFD" w:rsidP="002A2FFD">
      <w:pPr>
        <w:pStyle w:val="EndnoteText"/>
        <w:rPr>
          <w:rFonts w:ascii="Calibri" w:hAnsi="Calibri" w:cs="Calibri"/>
          <w:sz w:val="18"/>
          <w:szCs w:val="18"/>
        </w:rPr>
      </w:pPr>
      <w:r w:rsidRPr="003F567D">
        <w:rPr>
          <w:rStyle w:val="EndnoteReference"/>
          <w:rFonts w:ascii="Calibri" w:hAnsi="Calibri" w:cs="Calibri"/>
          <w:sz w:val="18"/>
          <w:szCs w:val="18"/>
        </w:rPr>
        <w:endnoteRef/>
      </w:r>
      <w:r w:rsidRPr="003F567D">
        <w:rPr>
          <w:rFonts w:ascii="Calibri" w:hAnsi="Calibri" w:cs="Calibri"/>
          <w:sz w:val="18"/>
          <w:szCs w:val="18"/>
        </w:rPr>
        <w:t xml:space="preserve"> Chen JY, Nassereldine H, Cook SB, Thornblade LW, Dellinger EP, Flum DR. Paradoxical Association of Hyperglycemia and Surgical Complications Among Patients With and Without Diabetes. JAMA Surg. 2022;157(9):765–770. doi:10.1001/jamasurg.2021.5561</w:t>
      </w:r>
    </w:p>
  </w:endnote>
  <w:endnote w:id="19">
    <w:p w14:paraId="590AB31B" w14:textId="77777777" w:rsidR="002A2FFD" w:rsidRPr="003F567D" w:rsidRDefault="002A2FFD" w:rsidP="002A2FFD">
      <w:pPr>
        <w:pStyle w:val="EndnoteText"/>
        <w:rPr>
          <w:rFonts w:ascii="Calibri" w:hAnsi="Calibri" w:cs="Calibri"/>
          <w:sz w:val="18"/>
          <w:szCs w:val="18"/>
        </w:rPr>
      </w:pPr>
      <w:r w:rsidRPr="003F567D">
        <w:rPr>
          <w:rStyle w:val="EndnoteReference"/>
          <w:rFonts w:ascii="Calibri" w:hAnsi="Calibri" w:cs="Calibri"/>
          <w:sz w:val="18"/>
          <w:szCs w:val="18"/>
        </w:rPr>
        <w:endnoteRef/>
      </w:r>
      <w:r w:rsidRPr="003F567D">
        <w:rPr>
          <w:rFonts w:ascii="Calibri" w:hAnsi="Calibri" w:cs="Calibri"/>
          <w:sz w:val="18"/>
          <w:szCs w:val="18"/>
        </w:rPr>
        <w:t xml:space="preserve"> Kotagal M, Symons RG, Hirsch IB, Umpierrez GE, Dellinger EP, Farrokhi ET, Flum DR; SCOAP-CERTAIN Collaborative. Perioperative hyperglycemia and risk of adverse events among patients with and without diabetes. Ann Surg. 2015 Jan;261(1):97-103. doi: 10.1097/SLA.0000000000000688. PMID: 25133932; PMCID: PMC4208939.</w:t>
      </w:r>
    </w:p>
  </w:endnote>
  <w:endnote w:id="20">
    <w:p w14:paraId="0A86060E" w14:textId="77777777" w:rsidR="002A2FFD" w:rsidRPr="003F567D" w:rsidRDefault="002A2FFD" w:rsidP="002A2FFD">
      <w:pPr>
        <w:pStyle w:val="EndnoteText"/>
        <w:rPr>
          <w:rFonts w:ascii="Calibri" w:hAnsi="Calibri" w:cs="Calibri"/>
          <w:sz w:val="18"/>
          <w:szCs w:val="18"/>
        </w:rPr>
      </w:pPr>
      <w:r w:rsidRPr="003F567D">
        <w:rPr>
          <w:rStyle w:val="EndnoteReference"/>
          <w:rFonts w:ascii="Calibri" w:hAnsi="Calibri" w:cs="Calibri"/>
          <w:sz w:val="18"/>
          <w:szCs w:val="18"/>
        </w:rPr>
        <w:endnoteRef/>
      </w:r>
      <w:r w:rsidRPr="003F567D">
        <w:rPr>
          <w:rFonts w:ascii="Calibri" w:hAnsi="Calibri" w:cs="Calibri"/>
          <w:sz w:val="18"/>
          <w:szCs w:val="18"/>
        </w:rPr>
        <w:t xml:space="preserve"> </w:t>
      </w:r>
      <w:r w:rsidRPr="003F567D">
        <w:rPr>
          <w:rFonts w:ascii="Calibri" w:eastAsia="Consolas" w:hAnsi="Calibri" w:cs="Calibri"/>
          <w:color w:val="1B1B1B"/>
          <w:sz w:val="18"/>
          <w:szCs w:val="18"/>
        </w:rPr>
        <w:t>Kwon S, Thompson R, Dellinger P, Yanez D, Farrohki E, Flum D. Importance of perioperative glycemic control in general surgery: a report from the Surgical Care and Outcomes Assessment Program. Ann Surg. 2013 Jan;257(1):8-14. doi: 10.1097/SLA.0b013e31827b6bbc. PMID: 23235393; PMCID: PMC4208433.</w:t>
      </w:r>
    </w:p>
  </w:endnote>
  <w:endnote w:id="21">
    <w:p w14:paraId="52A2F923" w14:textId="77777777" w:rsidR="002A2FFD" w:rsidRPr="003F567D" w:rsidRDefault="002A2FFD" w:rsidP="002A2FFD">
      <w:pPr>
        <w:pStyle w:val="EndnoteText"/>
        <w:rPr>
          <w:rFonts w:ascii="Calibri" w:hAnsi="Calibri" w:cs="Calibri"/>
          <w:sz w:val="18"/>
          <w:szCs w:val="18"/>
        </w:rPr>
      </w:pPr>
      <w:r w:rsidRPr="003F567D">
        <w:rPr>
          <w:rStyle w:val="EndnoteReference"/>
          <w:rFonts w:ascii="Calibri" w:hAnsi="Calibri" w:cs="Calibri"/>
          <w:sz w:val="18"/>
          <w:szCs w:val="18"/>
        </w:rPr>
        <w:endnoteRef/>
      </w:r>
      <w:r w:rsidRPr="003F567D">
        <w:rPr>
          <w:rFonts w:ascii="Calibri" w:hAnsi="Calibri" w:cs="Calibri"/>
          <w:sz w:val="18"/>
          <w:szCs w:val="18"/>
        </w:rPr>
        <w:t xml:space="preserve"> Linnea M. Wilson, Shoshana J. Herzig, Edward R. Marcantonio, Michael A. Steinman, Mara A. Schonberg, Brianna X. Wang, Ella Hileman-Kaplan, Timothy S. Anderson; Management of Diabetes and Hyperglycemia in the Hospital: A Systematic Review of Clinical Practice Guidelines. </w:t>
      </w:r>
      <w:r w:rsidRPr="003F567D">
        <w:rPr>
          <w:rFonts w:ascii="Calibri" w:hAnsi="Calibri" w:cs="Calibri"/>
          <w:i/>
          <w:iCs/>
          <w:sz w:val="18"/>
          <w:szCs w:val="18"/>
        </w:rPr>
        <w:t>Diabetes Care</w:t>
      </w:r>
      <w:r w:rsidRPr="003F567D">
        <w:rPr>
          <w:rFonts w:ascii="Calibri" w:hAnsi="Calibri" w:cs="Calibri"/>
          <w:sz w:val="18"/>
          <w:szCs w:val="18"/>
        </w:rPr>
        <w:t> 20 March 2025; 48 (4): 655–664. </w:t>
      </w:r>
      <w:hyperlink r:id="rId4" w:tgtFrame="_blank" w:history="1">
        <w:r w:rsidRPr="003F567D">
          <w:rPr>
            <w:rStyle w:val="Hyperlink"/>
            <w:rFonts w:ascii="Calibri" w:hAnsi="Calibri" w:cs="Calibri"/>
            <w:sz w:val="18"/>
            <w:szCs w:val="18"/>
          </w:rPr>
          <w:t>https://doi.org/10.2337/dc24-2510</w:t>
        </w:r>
      </w:hyperlink>
    </w:p>
  </w:endnote>
  <w:endnote w:id="22">
    <w:p w14:paraId="513C9A71" w14:textId="77777777" w:rsidR="002A2FFD" w:rsidRPr="003F567D" w:rsidRDefault="002A2FFD" w:rsidP="002A2FFD">
      <w:pPr>
        <w:pStyle w:val="EndnoteText"/>
        <w:rPr>
          <w:rFonts w:ascii="Calibri" w:hAnsi="Calibri" w:cs="Calibri"/>
          <w:sz w:val="18"/>
          <w:szCs w:val="18"/>
        </w:rPr>
      </w:pPr>
      <w:r w:rsidRPr="003F567D">
        <w:rPr>
          <w:rStyle w:val="EndnoteReference"/>
          <w:rFonts w:ascii="Calibri" w:hAnsi="Calibri" w:cs="Calibri"/>
          <w:sz w:val="18"/>
          <w:szCs w:val="18"/>
        </w:rPr>
        <w:endnoteRef/>
      </w:r>
      <w:r w:rsidRPr="003F567D">
        <w:rPr>
          <w:rFonts w:ascii="Calibri" w:hAnsi="Calibri" w:cs="Calibri"/>
          <w:sz w:val="18"/>
          <w:szCs w:val="18"/>
        </w:rPr>
        <w:t xml:space="preserve"> </w:t>
      </w:r>
      <w:r w:rsidRPr="003F567D">
        <w:rPr>
          <w:rFonts w:ascii="Calibri" w:eastAsia="Segoe UI" w:hAnsi="Calibri" w:cs="Calibri"/>
          <w:color w:val="212121"/>
          <w:sz w:val="18"/>
          <w:szCs w:val="18"/>
        </w:rPr>
        <w:t>Bellon F, Solà I, Gimenez-Perez G, Hernández M, Metzendorf MI, Rubinat E, Mauricio D. Perioperative glycaemic control for people with diabetes undergoing surgery. Cochrane Database Syst Rev. 2023 Aug 1;8(8):CD007315. doi: 10.1002/14651858.CD007315.pub3. PMID: 37526194; PMCID: PMC10392034.</w:t>
      </w:r>
    </w:p>
  </w:endnote>
  <w:endnote w:id="23">
    <w:p w14:paraId="7B87B40F" w14:textId="77777777" w:rsidR="00764A50" w:rsidRDefault="00764A50" w:rsidP="00764A50">
      <w:pPr>
        <w:pStyle w:val="EndnoteText"/>
      </w:pPr>
      <w:r>
        <w:rPr>
          <w:rStyle w:val="EndnoteReference"/>
        </w:rPr>
        <w:endnoteRef/>
      </w:r>
      <w:r>
        <w:t xml:space="preserve"> </w:t>
      </w:r>
      <w:r w:rsidRPr="007C6F21">
        <w:t>Korytkowski, M. T., Muniyappa, R., Antinori-Lent, K., Donihi, A. C., Drincic, A. T., Hirsch, I. B., Luger, A., McDonnell, M. E., Murad, M. H., Nielsen, C., Pegg, C., Rushakoff, R. J., Santesso, N., &amp; Umpierrez, G. E. (2022). Management of hyperglycemia in hospitalized adult patients in non-critical care settings: An Endocrine Society clinical practice guideline. The Journal of Clinical Endocrinology &amp; Metabolism. Advance online publication. https://doi.org/10.1210/clinem/dgac278</w:t>
      </w:r>
    </w:p>
  </w:endnote>
  <w:endnote w:id="24">
    <w:p w14:paraId="20139558" w14:textId="77777777" w:rsidR="00764A50" w:rsidRDefault="00764A50" w:rsidP="00764A50">
      <w:pPr>
        <w:pStyle w:val="EndnoteText"/>
      </w:pPr>
      <w:r>
        <w:rPr>
          <w:rStyle w:val="EndnoteReference"/>
        </w:rPr>
        <w:endnoteRef/>
      </w:r>
      <w:r>
        <w:t xml:space="preserve"> </w:t>
      </w:r>
      <w:r w:rsidRPr="00DF610E">
        <w:t>American Diabetes Association. (2024). Standards of care in diabetes—Inpatient glycemic management. Diabetes Care, 47(Suppl. 1), S295–S304. https://doi.org/10.2337/dc24-S295</w:t>
      </w:r>
    </w:p>
  </w:endnote>
  <w:endnote w:id="25">
    <w:p w14:paraId="2A55080B" w14:textId="77777777" w:rsidR="00764A50" w:rsidRDefault="00764A50" w:rsidP="00764A50">
      <w:pPr>
        <w:pStyle w:val="EndnoteText"/>
      </w:pPr>
      <w:r>
        <w:rPr>
          <w:rStyle w:val="EndnoteReference"/>
        </w:rPr>
        <w:endnoteRef/>
      </w:r>
      <w:r>
        <w:t xml:space="preserve"> </w:t>
      </w:r>
      <w:r w:rsidRPr="002B161A">
        <w:t>Ata A, Lee J, Bestle SL, Desemone J, Stain SC. Postoperative Hyperglycemia and Surgical Site Infection in General Surgery Patients. Arch Surg. 2010;145(9):858–864. doi:10.1001/archsurg.2010.179</w:t>
      </w:r>
    </w:p>
  </w:endnote>
  <w:endnote w:id="26">
    <w:p w14:paraId="1B2254E1" w14:textId="77777777" w:rsidR="00764A50" w:rsidRDefault="00764A50" w:rsidP="00764A50">
      <w:pPr>
        <w:pStyle w:val="EndnoteText"/>
      </w:pPr>
      <w:r>
        <w:rPr>
          <w:rStyle w:val="EndnoteReference"/>
        </w:rPr>
        <w:endnoteRef/>
      </w:r>
      <w:r>
        <w:t xml:space="preserve"> </w:t>
      </w:r>
      <w:r w:rsidRPr="005A1891">
        <w:t>Meister, K. M., Yaeger, L., Dewey, J., Lloyd, T., Mehler, P., &amp; Derleth, C. (2018). Clinical significance of perioperative hyperglycemia in bariatric surgery. Surgery for Obesity and Related Diseases, 14(9), 1260-1266. https://doi.org/10.1016/j.soard.2018.08.001</w:t>
      </w:r>
    </w:p>
  </w:endnote>
  <w:endnote w:id="27">
    <w:p w14:paraId="0F1F0F23" w14:textId="77777777" w:rsidR="00764A50" w:rsidRDefault="00764A50" w:rsidP="00764A50">
      <w:pPr>
        <w:pStyle w:val="EndnoteText"/>
      </w:pPr>
      <w:r>
        <w:rPr>
          <w:rStyle w:val="EndnoteReference"/>
        </w:rPr>
        <w:endnoteRef/>
      </w:r>
      <w:r>
        <w:t xml:space="preserve"> </w:t>
      </w:r>
      <w:r w:rsidRPr="00FC50FC">
        <w:t>Chen JY, Nassereldine H, Cook SB, Thornblade LW, Dellinger EP, Flum DR. Paradoxical Association of Hyperglycemia and Surgical Complications Among Patients With and Without Diabetes. JAMA Surg. 2022 Sep 1;157(9):765-770. doi: 10.1001/jamasurg.2021.5561. Erratum in: JAMA Surg. 2022 Oct 1;157(10):971. doi: 10.1001/jamasurg.2022.3629. PMID: 35704308; PMCID: PMC9201741.</w:t>
      </w:r>
    </w:p>
  </w:endnote>
  <w:endnote w:id="28">
    <w:p w14:paraId="35946B8F" w14:textId="77777777" w:rsidR="00764A50" w:rsidRDefault="00764A50" w:rsidP="00764A50">
      <w:pPr>
        <w:pStyle w:val="EndnoteText"/>
      </w:pPr>
      <w:r>
        <w:rPr>
          <w:rStyle w:val="EndnoteReference"/>
        </w:rPr>
        <w:endnoteRef/>
      </w:r>
      <w:r>
        <w:t xml:space="preserve"> </w:t>
      </w:r>
      <w:r w:rsidRPr="00D12EB3">
        <w:t>Sheehy AM, Gabbay RA. An overview of preoperative glucose evaluation, management, and perioperative impact. J Diabetes Sci Technol. 2009 Nov 1;3(6):1261-9. doi: 10.1177/193229680900300605. PMID: 20144379; PMCID: PMC2787025.</w:t>
      </w:r>
    </w:p>
  </w:endnote>
  <w:endnote w:id="29">
    <w:p w14:paraId="19EF2F7C" w14:textId="77777777" w:rsidR="00764A50" w:rsidRDefault="00764A50" w:rsidP="00764A50">
      <w:pPr>
        <w:pStyle w:val="EndnoteText"/>
      </w:pPr>
      <w:r>
        <w:rPr>
          <w:rStyle w:val="EndnoteReference"/>
        </w:rPr>
        <w:endnoteRef/>
      </w:r>
      <w:r>
        <w:t xml:space="preserve"> </w:t>
      </w:r>
      <w:r w:rsidRPr="00CF4E87">
        <w:t>Yoneda, A., Takesue, Y., Takahashi, Y., Ichiki, K., Tsuchida, T., Ikeuchi, H., Uchino, M., Hatano, E., Shinohara, H., &amp; Tomita, N. (2020). Improvement in hyperglycemia prevents surgical site infection irrespective of insulin therapy in non-diabetic patients undergoing gastrointestinal surgery. World Journal of Surgery, 44(5), 1450–1458. https://doi.org/10.1007/s00268-020-05371-y</w:t>
      </w:r>
    </w:p>
  </w:endnote>
  <w:endnote w:id="30">
    <w:p w14:paraId="5E2E9FEB" w14:textId="77777777" w:rsidR="009C1DFE" w:rsidRPr="003F567D" w:rsidRDefault="009C1DFE" w:rsidP="009C1DFE">
      <w:pPr>
        <w:pStyle w:val="EndnoteText"/>
        <w:rPr>
          <w:rFonts w:ascii="Calibri" w:hAnsi="Calibri" w:cs="Calibri"/>
          <w:sz w:val="18"/>
          <w:szCs w:val="18"/>
        </w:rPr>
      </w:pPr>
      <w:r w:rsidRPr="003F567D">
        <w:rPr>
          <w:rStyle w:val="EndnoteReference"/>
          <w:rFonts w:ascii="Calibri" w:hAnsi="Calibri" w:cs="Calibri"/>
          <w:sz w:val="18"/>
          <w:szCs w:val="18"/>
        </w:rPr>
        <w:endnoteRef/>
      </w:r>
      <w:r w:rsidRPr="003F567D">
        <w:rPr>
          <w:rFonts w:ascii="Calibri" w:hAnsi="Calibri" w:cs="Calibri"/>
          <w:sz w:val="18"/>
          <w:szCs w:val="18"/>
        </w:rPr>
        <w:t xml:space="preserve"> Shander, A., Corwin, H. L., Meier, J., Auerbach, M., Bisbe, E., Blitz, J., Erhard, J., Faraoni, D., Farmer, S., Frank, S. M., Girelli, D., Hall, T., Hardy, J.-F., Hofmann, A., Lee, C.-K., Leung, T. W., Ozawa, S., Sathar, J., Spahn, D. R., Torres, R., Warner, M. A., Muñoz, M., … &amp; ICCAMS Panel. (2023). Recommendations from the international consensus conference on anemia management in surgical patients. </w:t>
      </w:r>
      <w:r w:rsidRPr="003F567D">
        <w:rPr>
          <w:rFonts w:ascii="Calibri" w:hAnsi="Calibri" w:cs="Calibri"/>
          <w:i/>
          <w:iCs/>
          <w:sz w:val="18"/>
          <w:szCs w:val="18"/>
        </w:rPr>
        <w:t>Annals of Surgery, 277</w:t>
      </w:r>
      <w:r w:rsidRPr="003F567D">
        <w:rPr>
          <w:rFonts w:ascii="Calibri" w:hAnsi="Calibri" w:cs="Calibri"/>
          <w:sz w:val="18"/>
          <w:szCs w:val="18"/>
        </w:rPr>
        <w:t>(4), 581–590.</w:t>
      </w:r>
    </w:p>
  </w:endnote>
  <w:endnote w:id="31">
    <w:p w14:paraId="3DB9EFC9" w14:textId="77777777" w:rsidR="009C1DFE" w:rsidRPr="003F567D" w:rsidRDefault="009C1DFE" w:rsidP="009C1DFE">
      <w:pPr>
        <w:pStyle w:val="EndnoteText"/>
        <w:rPr>
          <w:rFonts w:ascii="Calibri" w:hAnsi="Calibri" w:cs="Calibri"/>
          <w:sz w:val="18"/>
          <w:szCs w:val="18"/>
        </w:rPr>
      </w:pPr>
      <w:r w:rsidRPr="003F567D">
        <w:rPr>
          <w:rStyle w:val="EndnoteReference"/>
          <w:rFonts w:ascii="Calibri" w:hAnsi="Calibri" w:cs="Calibri"/>
          <w:sz w:val="18"/>
          <w:szCs w:val="18"/>
        </w:rPr>
        <w:endnoteRef/>
      </w:r>
      <w:r w:rsidRPr="003F567D">
        <w:rPr>
          <w:rFonts w:ascii="Calibri" w:hAnsi="Calibri" w:cs="Calibri"/>
          <w:sz w:val="18"/>
          <w:szCs w:val="18"/>
        </w:rPr>
        <w:t xml:space="preserve"> Fergusson, D., Houston, B., Cagiannos, I., Morash, C., Tinmouth, A., Huton, B., Mallick, R., Flaman, A., &amp; Breau, R. H. (2020). The top 20 surgical procedures associated with the highest risk for blood transfusion. British Journal of Surgery, 107(13), e642–e643. htps://doi.org/10.1002/bjs.12005</w:t>
      </w:r>
    </w:p>
  </w:endnote>
  <w:endnote w:id="32">
    <w:p w14:paraId="2130CB56" w14:textId="77777777" w:rsidR="009C1DFE" w:rsidRPr="003F567D" w:rsidRDefault="009C1DFE" w:rsidP="009C1DFE">
      <w:pPr>
        <w:pStyle w:val="EndnoteText"/>
        <w:rPr>
          <w:rFonts w:ascii="Calibri" w:hAnsi="Calibri" w:cs="Calibri"/>
          <w:sz w:val="18"/>
          <w:szCs w:val="18"/>
        </w:rPr>
      </w:pPr>
      <w:r w:rsidRPr="003F567D">
        <w:rPr>
          <w:rStyle w:val="EndnoteReference"/>
          <w:rFonts w:ascii="Calibri" w:hAnsi="Calibri" w:cs="Calibri"/>
          <w:sz w:val="18"/>
          <w:szCs w:val="18"/>
        </w:rPr>
        <w:endnoteRef/>
      </w:r>
      <w:r w:rsidRPr="003F567D">
        <w:rPr>
          <w:rFonts w:ascii="Calibri" w:hAnsi="Calibri" w:cs="Calibri"/>
          <w:sz w:val="18"/>
          <w:szCs w:val="18"/>
        </w:rPr>
        <w:t xml:space="preserve"> Fernandez H, Lasocki S, Capdevila X, Chapron C. Periopera�ve iron deficiency and anaemia in scheduled gynaecological surgery: An update based on findings from the PERIOPES and CARENFER studies: Iron deficiency in gynaecological surgery. J Gynecol Obstet Hum Reprod. 2025 Jun;54(6):102960. doi: 10.1016/j.jogoh.2025.102960. Epub 2025 Apr 18. PMID: 40254134</w:t>
      </w:r>
    </w:p>
  </w:endnote>
  <w:endnote w:id="33">
    <w:p w14:paraId="78047D95" w14:textId="4A9A373B" w:rsidR="009854DE" w:rsidRPr="003F567D" w:rsidRDefault="009854DE">
      <w:pPr>
        <w:pStyle w:val="EndnoteText"/>
        <w:rPr>
          <w:rFonts w:ascii="Calibri" w:hAnsi="Calibri" w:cs="Calibri"/>
          <w:sz w:val="18"/>
          <w:szCs w:val="18"/>
        </w:rPr>
      </w:pPr>
      <w:r w:rsidRPr="003F567D">
        <w:rPr>
          <w:rStyle w:val="EndnoteReference"/>
          <w:rFonts w:ascii="Calibri" w:hAnsi="Calibri" w:cs="Calibri"/>
          <w:sz w:val="18"/>
          <w:szCs w:val="18"/>
        </w:rPr>
        <w:endnoteRef/>
      </w:r>
      <w:r w:rsidRPr="003F567D">
        <w:rPr>
          <w:rFonts w:ascii="Calibri" w:hAnsi="Calibri" w:cs="Calibri"/>
          <w:sz w:val="18"/>
          <w:szCs w:val="18"/>
        </w:rPr>
        <w:t xml:space="preserve"> Shander, A., Corwin, H. L., Meier, J., Auerbach, M., Bisbe, E., Blitz, J., Erhard, J., Faraoni, D., Farmer, S., Frank, S. M., Girelli, D., Hall, T., Hardy, J.-F., Hofmann, A., Lee, C.-K., Leung, T. W., Ozawa, S., Sathar, J., Spahn, D. R., Torres, R., Warner, M. A., Muñoz, M., … &amp; ICCAMS Panel. (2023). Recommendations from the international consensus conference on anemia management in surgical patients. </w:t>
      </w:r>
      <w:r w:rsidRPr="003F567D">
        <w:rPr>
          <w:rFonts w:ascii="Calibri" w:hAnsi="Calibri" w:cs="Calibri"/>
          <w:i/>
          <w:iCs/>
          <w:sz w:val="18"/>
          <w:szCs w:val="18"/>
        </w:rPr>
        <w:t>Annals of Surgery, 277</w:t>
      </w:r>
      <w:r w:rsidRPr="003F567D">
        <w:rPr>
          <w:rFonts w:ascii="Calibri" w:hAnsi="Calibri" w:cs="Calibri"/>
          <w:sz w:val="18"/>
          <w:szCs w:val="18"/>
        </w:rPr>
        <w:t>(4), 581–590</w:t>
      </w:r>
    </w:p>
  </w:endnote>
  <w:endnote w:id="34">
    <w:p w14:paraId="67F5697F" w14:textId="77777777" w:rsidR="009C1DFE" w:rsidRPr="003F567D" w:rsidRDefault="009C1DFE" w:rsidP="009C1DFE">
      <w:pPr>
        <w:pStyle w:val="EndnoteText"/>
        <w:rPr>
          <w:rFonts w:ascii="Calibri" w:hAnsi="Calibri" w:cs="Calibri"/>
          <w:sz w:val="18"/>
          <w:szCs w:val="18"/>
        </w:rPr>
      </w:pPr>
      <w:r w:rsidRPr="003F567D">
        <w:rPr>
          <w:rStyle w:val="EndnoteReference"/>
          <w:rFonts w:ascii="Calibri" w:hAnsi="Calibri" w:cs="Calibri"/>
          <w:sz w:val="18"/>
          <w:szCs w:val="18"/>
        </w:rPr>
        <w:endnoteRef/>
      </w:r>
      <w:r w:rsidRPr="003F567D">
        <w:rPr>
          <w:rFonts w:ascii="Calibri" w:hAnsi="Calibri" w:cs="Calibri"/>
          <w:sz w:val="18"/>
          <w:szCs w:val="18"/>
        </w:rPr>
        <w:t xml:space="preserve"> Ng O, Keeler BD, Mishra A, Simpson JA, Neal K, Al-Hassi HO, Brookes MJ, Acheson AG. Iron therapy for preoperative anaemia. Cochrane Database Syst Rev. 2019 Dec 7;12(12):CD011588. doi: 10.1002/14651858.CD011588.pub3. PMID: 31811820; PMCID: PMC6899074.</w:t>
      </w:r>
    </w:p>
  </w:endnote>
  <w:endnote w:id="35">
    <w:p w14:paraId="50BDC64B" w14:textId="512759C5" w:rsidR="0017434E" w:rsidRDefault="0017434E">
      <w:pPr>
        <w:pStyle w:val="EndnoteText"/>
      </w:pPr>
      <w:r>
        <w:rPr>
          <w:rStyle w:val="EndnoteReference"/>
        </w:rPr>
        <w:endnoteRef/>
      </w:r>
      <w:r>
        <w:t xml:space="preserve"> </w:t>
      </w:r>
      <w:r w:rsidRPr="00AB5E58">
        <w:rPr>
          <w:rFonts w:ascii="Calibri" w:hAnsi="Calibri" w:cs="Calibri"/>
          <w:sz w:val="18"/>
          <w:szCs w:val="18"/>
        </w:rPr>
        <w:t>Agarwal, R., Liao, J. M., Gupta, A., &amp; Navathe, A. S. (2020). The impact of bundled payment on health care spending, utilization, and quality: A systematic review. Health Affairs, 39(1), 50–57. https://doi.org/10.1377/hlthaff.2019.00784</w:t>
      </w:r>
    </w:p>
  </w:endnote>
  <w:endnote w:id="36">
    <w:p w14:paraId="03C16C9F" w14:textId="1033239D" w:rsidR="00AB5E58" w:rsidRDefault="00AB5E58">
      <w:pPr>
        <w:pStyle w:val="EndnoteText"/>
      </w:pPr>
      <w:r>
        <w:rPr>
          <w:rStyle w:val="EndnoteReference"/>
        </w:rPr>
        <w:endnoteRef/>
      </w:r>
      <w:r>
        <w:t xml:space="preserve"> </w:t>
      </w:r>
      <w:r w:rsidRPr="00AB5E58">
        <w:rPr>
          <w:rFonts w:ascii="Calibri" w:hAnsi="Calibri" w:cs="Calibri"/>
          <w:sz w:val="18"/>
          <w:szCs w:val="18"/>
        </w:rPr>
        <w:t>Dummit LA, Kahvecioglu D, Marrufo G, et al. Association Between Hospital Participation in a Medicare Bundled Payment Initiative and Payments and Quality Outcomes for Lower Extremity Joint Replacement Episodes. JAMA. 2016;316(12):1267–1278. doi:10.1001/jama.2016.12717</w:t>
      </w:r>
    </w:p>
  </w:endnote>
  <w:endnote w:id="37">
    <w:p w14:paraId="63C0B0E7" w14:textId="7161842D" w:rsidR="00602698" w:rsidRDefault="00602698">
      <w:pPr>
        <w:pStyle w:val="EndnoteText"/>
      </w:pPr>
      <w:r>
        <w:rPr>
          <w:rStyle w:val="EndnoteReference"/>
        </w:rPr>
        <w:endnoteRef/>
      </w:r>
      <w:r>
        <w:t xml:space="preserve"> </w:t>
      </w:r>
      <w:r w:rsidRPr="00602698">
        <w:t>Barnett ML, Wilcock A, McWilliams JM, Epstein AM, Joynt Maddox KE, Orav EJ, Grabowski DC, Mehrotra A. Two-Year Evaluation of Mandatory Bundled Payments for Joint Replacement. N Engl J Med. 2019 Jan 17;380(3):252-262. doi: 10.1056/NEJMsa1809010. Epub 2019 Jan 2. Erratum in: N Engl J Med. 2019 May 23;380(21):2082. doi: 10.1056/NEJMx190016. PMID: 30601709; PMCID: PMC6504974.</w:t>
      </w:r>
    </w:p>
  </w:endnote>
  <w:endnote w:id="38">
    <w:p w14:paraId="72A77ACA" w14:textId="3903B460" w:rsidR="003A0A8E" w:rsidRDefault="003A0A8E">
      <w:pPr>
        <w:pStyle w:val="EndnoteText"/>
      </w:pPr>
      <w:r>
        <w:rPr>
          <w:rStyle w:val="EndnoteReference"/>
        </w:rPr>
        <w:endnoteRef/>
      </w:r>
      <w:r>
        <w:t xml:space="preserve"> </w:t>
      </w:r>
      <w:r w:rsidRPr="003A0A8E">
        <w:t>Kilaru AS, Ng GY, Wang E, et al. Savings Associated With Bundled Payments for Outpatient Spine Surgery Among Medicare Beneficiaries. JAMA Health Forum. 2025;6(7):e251907. doi:10.1001/jamahealthforum.2025.1907</w:t>
      </w:r>
    </w:p>
  </w:endnote>
  <w:endnote w:id="39">
    <w:p w14:paraId="4A9EBCF7" w14:textId="3E0F1368" w:rsidR="00F93F48" w:rsidRDefault="00F93F48">
      <w:pPr>
        <w:pStyle w:val="EndnoteText"/>
      </w:pPr>
      <w:r>
        <w:rPr>
          <w:rStyle w:val="EndnoteReference"/>
        </w:rPr>
        <w:endnoteRef/>
      </w:r>
      <w:r>
        <w:t xml:space="preserve"> </w:t>
      </w:r>
      <w:r w:rsidRPr="00F93F48">
        <w:t>Sauro KM, Smith C, Ibadin S, et al. Enhanced Recovery After Surgery Guidelines and Hospital Length of Stay, Readmission, Complications, and Mortality: A Meta-Analysis of Randomized Clinical Trials. JAMA Netw Open. 2024;7(6):e2417310. doi:10.1001/jamanetworkopen.2024.17310</w:t>
      </w:r>
    </w:p>
  </w:endnote>
  <w:endnote w:id="40">
    <w:p w14:paraId="2BF28F7D" w14:textId="00B8E744" w:rsidR="0063781A" w:rsidRDefault="0063781A">
      <w:pPr>
        <w:pStyle w:val="EndnoteText"/>
      </w:pPr>
      <w:r>
        <w:rPr>
          <w:rStyle w:val="EndnoteReference"/>
        </w:rPr>
        <w:endnoteRef/>
      </w:r>
      <w:r>
        <w:t xml:space="preserve"> </w:t>
      </w:r>
      <w:r w:rsidRPr="0063781A">
        <w:t>Kannan V, Ullah N, Geddada S, Ibrahiam A, Munaf Shakir Al-Qassab Z, Ahmed O, Malasevskaia I. Impact of "Enhanced Recovery After Surgery" (ERAS) protocols vs. traditional perioperative care on patient outcomes after colorectal surgery: a systematic review. Patient Saf Surg. 2025 Jan 16;19(1):4. doi: 10.1186/s13037-024-00425-9. PMID: 39819478; PMCID: PMC11737126.</w:t>
      </w:r>
    </w:p>
  </w:endnote>
  <w:endnote w:id="41">
    <w:p w14:paraId="1E71A781" w14:textId="6B3D73D1" w:rsidR="00BF209A" w:rsidRDefault="00BF209A">
      <w:pPr>
        <w:pStyle w:val="EndnoteText"/>
      </w:pPr>
      <w:r>
        <w:rPr>
          <w:rStyle w:val="EndnoteReference"/>
        </w:rPr>
        <w:endnoteRef/>
      </w:r>
      <w:r>
        <w:t xml:space="preserve"> </w:t>
      </w:r>
      <w:r w:rsidRPr="00BF209A">
        <w:t>Navathe AS, Liao JM, Dykstra SE, et al. Association of Hospital Participation in a Medicare Bundled Payment Program With Volume and Case Mix of Lower Extremity Joint Replacement Episodes. JAMA. 2018;320(9):901–910. doi:10.1001/jama.2018.12345</w:t>
      </w:r>
    </w:p>
  </w:endnote>
  <w:endnote w:id="42">
    <w:p w14:paraId="056AB202" w14:textId="77777777" w:rsidR="00EF41EE" w:rsidRPr="003F567D" w:rsidRDefault="00EF41EE" w:rsidP="00EF41EE">
      <w:pPr>
        <w:pStyle w:val="EndnoteText"/>
        <w:rPr>
          <w:rFonts w:ascii="Calibri" w:hAnsi="Calibri" w:cs="Calibri"/>
          <w:sz w:val="18"/>
          <w:szCs w:val="18"/>
        </w:rPr>
      </w:pPr>
      <w:r w:rsidRPr="003F567D">
        <w:rPr>
          <w:rStyle w:val="EndnoteReference"/>
          <w:rFonts w:ascii="Calibri" w:hAnsi="Calibri" w:cs="Calibri"/>
          <w:sz w:val="18"/>
          <w:szCs w:val="18"/>
        </w:rPr>
        <w:endnoteRef/>
      </w:r>
      <w:r w:rsidRPr="003F567D">
        <w:rPr>
          <w:rFonts w:ascii="Calibri" w:hAnsi="Calibri" w:cs="Calibri"/>
          <w:sz w:val="18"/>
          <w:szCs w:val="18"/>
        </w:rPr>
        <w:t xml:space="preserve"> Schatz C, Plötz W, Beckmann J, Bredow K, Leidl R, Buschner P. Associations of preoperative anemia and postoperative hemoglobin values with hospital costs in total knee arthroplasty (TKA). Arch Orthop Trauma Surg. 2023 Nov;143(11):6741-6751. </w:t>
      </w:r>
    </w:p>
  </w:endnote>
  <w:endnote w:id="43">
    <w:p w14:paraId="693BA149" w14:textId="77777777" w:rsidR="00EF41EE" w:rsidRPr="003F567D" w:rsidRDefault="00EF41EE" w:rsidP="00EF41EE">
      <w:pPr>
        <w:pStyle w:val="EndnoteText"/>
        <w:rPr>
          <w:rFonts w:ascii="Calibri" w:hAnsi="Calibri" w:cs="Calibri"/>
          <w:sz w:val="18"/>
          <w:szCs w:val="18"/>
        </w:rPr>
      </w:pPr>
      <w:r w:rsidRPr="003F567D">
        <w:rPr>
          <w:rStyle w:val="EndnoteReference"/>
          <w:rFonts w:ascii="Calibri" w:hAnsi="Calibri" w:cs="Calibri"/>
          <w:sz w:val="18"/>
          <w:szCs w:val="18"/>
        </w:rPr>
        <w:endnoteRef/>
      </w:r>
      <w:r w:rsidRPr="003F567D">
        <w:rPr>
          <w:rFonts w:ascii="Calibri" w:hAnsi="Calibri" w:cs="Calibri"/>
          <w:sz w:val="18"/>
          <w:szCs w:val="18"/>
        </w:rPr>
        <w:t xml:space="preserve"> Musallam KM, et al. . Preoperative anaemia and postoperative outcomes in non-cardiac surgery: a retrospective cohort study. Lancet. 2011 Oct 15;378(9800):1396-407. </w:t>
      </w:r>
    </w:p>
  </w:endnote>
  <w:endnote w:id="44">
    <w:p w14:paraId="2FA74DF4" w14:textId="77777777" w:rsidR="00EF41EE" w:rsidRPr="003F567D" w:rsidRDefault="00EF41EE" w:rsidP="00EF41EE">
      <w:pPr>
        <w:pStyle w:val="EndnoteText"/>
        <w:rPr>
          <w:rFonts w:ascii="Calibri" w:hAnsi="Calibri" w:cs="Calibri"/>
          <w:sz w:val="18"/>
          <w:szCs w:val="18"/>
        </w:rPr>
      </w:pPr>
      <w:r w:rsidRPr="003F567D">
        <w:rPr>
          <w:rStyle w:val="EndnoteReference"/>
          <w:rFonts w:ascii="Calibri" w:hAnsi="Calibri" w:cs="Calibri"/>
          <w:sz w:val="18"/>
          <w:szCs w:val="18"/>
        </w:rPr>
        <w:endnoteRef/>
      </w:r>
      <w:r w:rsidRPr="003F567D">
        <w:rPr>
          <w:rFonts w:ascii="Calibri" w:hAnsi="Calibri" w:cs="Calibri"/>
          <w:sz w:val="18"/>
          <w:szCs w:val="18"/>
        </w:rPr>
        <w:t xml:space="preserve"> Myles, P. S., Richards, T., Klein, A., Wood, E. M., Wallace, S., Shulman, M. A., Martin, C., Bellomo, R., Corcoran, T. B., Peyton, P. J., Story, D. A., Leslie, K., Forbes, A., &amp; RELIEF Trial Investigators (2022). Postoperative anaemia and patient-centred outcomes after major abdominal surgery: a retrospective cohort study. </w:t>
      </w:r>
      <w:r w:rsidRPr="003F567D">
        <w:rPr>
          <w:rFonts w:ascii="Calibri" w:hAnsi="Calibri" w:cs="Calibri"/>
          <w:i/>
          <w:iCs/>
          <w:sz w:val="18"/>
          <w:szCs w:val="18"/>
        </w:rPr>
        <w:t>British journal of anaesthesia</w:t>
      </w:r>
      <w:r w:rsidRPr="003F567D">
        <w:rPr>
          <w:rFonts w:ascii="Calibri" w:hAnsi="Calibri" w:cs="Calibri"/>
          <w:sz w:val="18"/>
          <w:szCs w:val="18"/>
        </w:rPr>
        <w:t xml:space="preserve">, </w:t>
      </w:r>
      <w:r w:rsidRPr="003F567D">
        <w:rPr>
          <w:rFonts w:ascii="Calibri" w:hAnsi="Calibri" w:cs="Calibri"/>
          <w:i/>
          <w:iCs/>
          <w:sz w:val="18"/>
          <w:szCs w:val="18"/>
        </w:rPr>
        <w:t>129</w:t>
      </w:r>
      <w:r w:rsidRPr="003F567D">
        <w:rPr>
          <w:rFonts w:ascii="Calibri" w:hAnsi="Calibri" w:cs="Calibri"/>
          <w:sz w:val="18"/>
          <w:szCs w:val="18"/>
        </w:rPr>
        <w:t>(3), 346–354. https://doi.org/10.1016/j.bja.2022.06.014</w:t>
      </w:r>
    </w:p>
  </w:endnote>
  <w:endnote w:id="45">
    <w:p w14:paraId="40665AB7" w14:textId="77777777" w:rsidR="00EF41EE" w:rsidRPr="003F567D" w:rsidRDefault="00EF41EE" w:rsidP="00EF41EE">
      <w:pPr>
        <w:pStyle w:val="EndnoteText"/>
        <w:rPr>
          <w:rFonts w:ascii="Calibri" w:hAnsi="Calibri" w:cs="Calibri"/>
          <w:sz w:val="18"/>
          <w:szCs w:val="18"/>
        </w:rPr>
      </w:pPr>
      <w:r w:rsidRPr="003F567D">
        <w:rPr>
          <w:rStyle w:val="EndnoteReference"/>
          <w:rFonts w:ascii="Calibri" w:hAnsi="Calibri" w:cs="Calibri"/>
          <w:sz w:val="18"/>
          <w:szCs w:val="18"/>
        </w:rPr>
        <w:endnoteRef/>
      </w:r>
      <w:r w:rsidRPr="003F567D">
        <w:rPr>
          <w:rFonts w:ascii="Calibri" w:hAnsi="Calibri" w:cs="Calibri"/>
          <w:sz w:val="18"/>
          <w:szCs w:val="18"/>
        </w:rPr>
        <w:t xml:space="preserve"> Hart, A., Goffredo, P., Carroll, R., Lehmann, R., Nau, P., Smith, J., Ahad, S., Bao, W., &amp; Hassan, I. (2021). Optimizing Bariatric Surgery outcomes: the impact of preoperative elevated hemoglobin A1c levels on composite perioperative outcome measures. </w:t>
      </w:r>
      <w:r w:rsidRPr="003F567D">
        <w:rPr>
          <w:rFonts w:ascii="Calibri" w:hAnsi="Calibri" w:cs="Calibri"/>
          <w:i/>
          <w:iCs/>
          <w:sz w:val="18"/>
          <w:szCs w:val="18"/>
        </w:rPr>
        <w:t>Surgical endoscopy</w:t>
      </w:r>
      <w:r w:rsidRPr="003F567D">
        <w:rPr>
          <w:rFonts w:ascii="Calibri" w:hAnsi="Calibri" w:cs="Calibri"/>
          <w:sz w:val="18"/>
          <w:szCs w:val="18"/>
        </w:rPr>
        <w:t xml:space="preserve">, </w:t>
      </w:r>
      <w:r w:rsidRPr="003F567D">
        <w:rPr>
          <w:rFonts w:ascii="Calibri" w:hAnsi="Calibri" w:cs="Calibri"/>
          <w:i/>
          <w:iCs/>
          <w:sz w:val="18"/>
          <w:szCs w:val="18"/>
        </w:rPr>
        <w:t>35</w:t>
      </w:r>
      <w:r w:rsidRPr="003F567D">
        <w:rPr>
          <w:rFonts w:ascii="Calibri" w:hAnsi="Calibri" w:cs="Calibri"/>
          <w:sz w:val="18"/>
          <w:szCs w:val="18"/>
        </w:rPr>
        <w:t xml:space="preserve">(8), 4618–4623. </w:t>
      </w:r>
    </w:p>
  </w:endnote>
  <w:endnote w:id="46">
    <w:p w14:paraId="31B2E67D" w14:textId="77777777" w:rsidR="00EF41EE" w:rsidRPr="003F567D" w:rsidRDefault="00EF41EE" w:rsidP="00EF41EE">
      <w:pPr>
        <w:keepNext/>
        <w:spacing w:after="120" w:line="240" w:lineRule="auto"/>
        <w:contextualSpacing/>
        <w:outlineLvl w:val="0"/>
        <w:rPr>
          <w:rFonts w:ascii="Calibri" w:hAnsi="Calibri" w:cs="Calibri"/>
          <w:sz w:val="18"/>
          <w:szCs w:val="18"/>
        </w:rPr>
      </w:pPr>
      <w:r w:rsidRPr="003F567D">
        <w:rPr>
          <w:rStyle w:val="EndnoteReference"/>
          <w:rFonts w:ascii="Calibri" w:hAnsi="Calibri" w:cs="Calibri"/>
          <w:sz w:val="18"/>
          <w:szCs w:val="18"/>
        </w:rPr>
        <w:endnoteRef/>
      </w:r>
      <w:r w:rsidRPr="003F567D">
        <w:rPr>
          <w:rFonts w:ascii="Calibri" w:hAnsi="Calibri" w:cs="Calibri"/>
          <w:sz w:val="18"/>
          <w:szCs w:val="18"/>
        </w:rPr>
        <w:t xml:space="preserve"> van den Boom, W., Schroeder, R. A., Manning, M. W., Setji, T. L., Fiestan, G. O., &amp; Dunson, D. B. (2018). Effect of A1C and Glucose on Postoperative Mortality in Noncardiac and Cardiac Surgeries. </w:t>
      </w:r>
      <w:r w:rsidRPr="003F567D">
        <w:rPr>
          <w:rFonts w:ascii="Calibri" w:hAnsi="Calibri" w:cs="Calibri"/>
          <w:i/>
          <w:iCs/>
          <w:sz w:val="18"/>
          <w:szCs w:val="18"/>
        </w:rPr>
        <w:t>Diabetes care</w:t>
      </w:r>
      <w:r w:rsidRPr="003F567D">
        <w:rPr>
          <w:rFonts w:ascii="Calibri" w:hAnsi="Calibri" w:cs="Calibri"/>
          <w:sz w:val="18"/>
          <w:szCs w:val="18"/>
        </w:rPr>
        <w:t xml:space="preserve">, </w:t>
      </w:r>
      <w:r w:rsidRPr="003F567D">
        <w:rPr>
          <w:rFonts w:ascii="Calibri" w:hAnsi="Calibri" w:cs="Calibri"/>
          <w:i/>
          <w:iCs/>
          <w:sz w:val="18"/>
          <w:szCs w:val="18"/>
        </w:rPr>
        <w:t>41</w:t>
      </w:r>
      <w:r w:rsidRPr="003F567D">
        <w:rPr>
          <w:rFonts w:ascii="Calibri" w:hAnsi="Calibri" w:cs="Calibri"/>
          <w:sz w:val="18"/>
          <w:szCs w:val="18"/>
        </w:rPr>
        <w:t xml:space="preserve">(4), 782–788. </w:t>
      </w:r>
    </w:p>
  </w:endnote>
  <w:endnote w:id="47">
    <w:p w14:paraId="3741123E" w14:textId="77777777" w:rsidR="00EF41EE" w:rsidRPr="003F567D" w:rsidRDefault="00EF41EE" w:rsidP="00EF41EE">
      <w:pPr>
        <w:pStyle w:val="EndnoteText"/>
        <w:rPr>
          <w:rFonts w:ascii="Calibri" w:hAnsi="Calibri" w:cs="Calibri"/>
          <w:sz w:val="18"/>
          <w:szCs w:val="18"/>
        </w:rPr>
      </w:pPr>
      <w:r w:rsidRPr="003F567D">
        <w:rPr>
          <w:rStyle w:val="EndnoteReference"/>
          <w:rFonts w:ascii="Calibri" w:hAnsi="Calibri" w:cs="Calibri"/>
          <w:sz w:val="18"/>
          <w:szCs w:val="18"/>
        </w:rPr>
        <w:endnoteRef/>
      </w:r>
      <w:r w:rsidRPr="003F567D">
        <w:rPr>
          <w:rFonts w:ascii="Calibri" w:hAnsi="Calibri" w:cs="Calibri"/>
          <w:sz w:val="18"/>
          <w:szCs w:val="18"/>
        </w:rPr>
        <w:t xml:space="preserve"> ERAS® Society. (n.d.). Terms &amp; conditions. Retrieved from https://erassociety.org/about/terms-conditions/#:~:text=The%20ERAS%C2%AE%20Society%20holds%20the%20exclusive%20Trademark,and%20development%20of%20computer%20hardware%20and%20software.</w:t>
      </w:r>
    </w:p>
  </w:endnote>
  <w:endnote w:id="48">
    <w:p w14:paraId="56659D47" w14:textId="77777777" w:rsidR="00EF41EE" w:rsidRPr="003F567D" w:rsidRDefault="00EF41EE" w:rsidP="00EF41EE">
      <w:pPr>
        <w:pStyle w:val="EndnoteText"/>
        <w:rPr>
          <w:rFonts w:ascii="Calibri" w:hAnsi="Calibri" w:cs="Calibri"/>
          <w:sz w:val="18"/>
          <w:szCs w:val="18"/>
        </w:rPr>
      </w:pPr>
      <w:r w:rsidRPr="003F567D">
        <w:rPr>
          <w:rStyle w:val="EndnoteReference"/>
          <w:rFonts w:ascii="Calibri" w:hAnsi="Calibri" w:cs="Calibri"/>
          <w:sz w:val="18"/>
          <w:szCs w:val="18"/>
        </w:rPr>
        <w:endnoteRef/>
      </w:r>
      <w:r w:rsidRPr="003F567D">
        <w:rPr>
          <w:rFonts w:ascii="Calibri" w:hAnsi="Calibri" w:cs="Calibri"/>
          <w:sz w:val="18"/>
          <w:szCs w:val="18"/>
        </w:rPr>
        <w:t xml:space="preserve"> Mazni Y, Syaiful RA, Ibrahim F, Jeo WS, Putranto AS, Sihardo L, Marbun V, Lalisang AN, Putranto R, Natadisastra RM, Sumariyono S, Nugroho AM, Manikam NRM, Karimah N, Hastuty V, Sutisna EN, Widiati E, Mutiara R, Wardhani RK, Liastuti LD, Lalisang TJM. The enhanced recovery after surgery (ERAS) protocol implementation in a national tertiary-level hospital: a prospective cohort study. Ann Med Surg (Lond). 2023 Dec 8;86(1):85-91. </w:t>
      </w:r>
    </w:p>
  </w:endnote>
  <w:endnote w:id="49">
    <w:p w14:paraId="1BD33112" w14:textId="48AC95B1" w:rsidR="00331004" w:rsidRPr="003F567D" w:rsidRDefault="00331004" w:rsidP="00331004">
      <w:pPr>
        <w:pStyle w:val="EndnoteText"/>
        <w:rPr>
          <w:rFonts w:ascii="Calibri" w:hAnsi="Calibri" w:cs="Calibri"/>
          <w:sz w:val="18"/>
          <w:szCs w:val="18"/>
        </w:rPr>
      </w:pPr>
      <w:r w:rsidRPr="003F567D">
        <w:rPr>
          <w:rStyle w:val="EndnoteReference"/>
          <w:rFonts w:ascii="Calibri" w:hAnsi="Calibri" w:cs="Calibri"/>
          <w:sz w:val="18"/>
          <w:szCs w:val="18"/>
        </w:rPr>
        <w:endnoteRef/>
      </w:r>
      <w:r w:rsidRPr="003F567D">
        <w:rPr>
          <w:rFonts w:ascii="Calibri" w:hAnsi="Calibri" w:cs="Calibri"/>
          <w:sz w:val="18"/>
          <w:szCs w:val="18"/>
        </w:rPr>
        <w:t xml:space="preserve"> </w:t>
      </w:r>
      <w:r w:rsidR="003F567D" w:rsidRPr="003F567D">
        <w:rPr>
          <w:rFonts w:ascii="Calibri" w:hAnsi="Calibri" w:cs="Calibri"/>
          <w:sz w:val="18"/>
          <w:szCs w:val="18"/>
        </w:rPr>
        <w:t xml:space="preserve">Henderson, W. O., Parker, M. H., &amp; Batch, B. C. (2021). How should you assess glycemic control if the hemoglobin A1c is inaccurate or uninterpretable? </w:t>
      </w:r>
      <w:r w:rsidR="003F567D" w:rsidRPr="003F567D">
        <w:rPr>
          <w:rFonts w:ascii="Calibri" w:hAnsi="Calibri" w:cs="Calibri"/>
          <w:i/>
          <w:iCs/>
          <w:sz w:val="18"/>
          <w:szCs w:val="18"/>
        </w:rPr>
        <w:t>Cleveland Clinic Journal of Medicine, 88</w:t>
      </w:r>
      <w:r w:rsidR="003F567D" w:rsidRPr="003F567D">
        <w:rPr>
          <w:rFonts w:ascii="Calibri" w:hAnsi="Calibri" w:cs="Calibri"/>
          <w:sz w:val="18"/>
          <w:szCs w:val="18"/>
        </w:rPr>
        <w:t>(2), 81–85. https://doi.org/10.3949/ccjm.88a.19135</w:t>
      </w:r>
    </w:p>
  </w:endnote>
  <w:endnote w:id="50">
    <w:p w14:paraId="7CB2E0F8" w14:textId="55B31A7C" w:rsidR="002F6944" w:rsidRDefault="002F6944">
      <w:pPr>
        <w:pStyle w:val="EndnoteText"/>
      </w:pPr>
      <w:r>
        <w:rPr>
          <w:rStyle w:val="EndnoteReference"/>
        </w:rPr>
        <w:endnoteRef/>
      </w:r>
      <w:r>
        <w:t xml:space="preserve"> </w:t>
      </w:r>
      <w:r w:rsidRPr="002F6944">
        <w:rPr>
          <w:sz w:val="18"/>
          <w:szCs w:val="18"/>
        </w:rPr>
        <w:t>Bovee LB, Hirsch IB. Should We Bury HbA1c? Diabetes Technol Ther. 2024 Aug;26(8):509-513. doi: 10.1089/dia.2024.0028. Epub 2024 Mar 8. PMID: 38350127.</w:t>
      </w:r>
    </w:p>
  </w:endnote>
  <w:endnote w:id="51">
    <w:p w14:paraId="7DD3D925" w14:textId="00C52B85" w:rsidR="00736B73" w:rsidRDefault="00736B73">
      <w:pPr>
        <w:pStyle w:val="EndnoteText"/>
      </w:pPr>
      <w:r w:rsidRPr="003F567D">
        <w:rPr>
          <w:rStyle w:val="EndnoteReference"/>
          <w:rFonts w:ascii="Calibri" w:hAnsi="Calibri" w:cs="Calibri"/>
          <w:sz w:val="18"/>
          <w:szCs w:val="18"/>
        </w:rPr>
        <w:endnoteRef/>
      </w:r>
      <w:r w:rsidRPr="003F567D">
        <w:rPr>
          <w:rFonts w:ascii="Calibri" w:hAnsi="Calibri" w:cs="Calibri"/>
          <w:sz w:val="18"/>
          <w:szCs w:val="18"/>
        </w:rPr>
        <w:t xml:space="preserve"> Means, R. T., Jr., &amp; Brodsky, R. A. (2022, September). Diagnostic approach to anemia in adults. In R. F. Connor (Ed.), UpToDate. Wolters Kluwer. Retrieved August 25, 2025, from https://www-uptodate-com.offcampus.lib.washington.edu/contents/diagnostic-approach-to-anemia-in-adults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ZWAdobeF">
    <w:panose1 w:val="000000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282B25" w14:paraId="7ECE9F8F" w14:textId="77777777" w:rsidTr="00282B25">
      <w:trPr>
        <w:trHeight w:val="300"/>
      </w:trPr>
      <w:tc>
        <w:tcPr>
          <w:tcW w:w="3120" w:type="dxa"/>
        </w:tcPr>
        <w:p w14:paraId="33AECC67" w14:textId="34FEE3F3" w:rsidR="00282B25" w:rsidRDefault="00282B25" w:rsidP="00282B25">
          <w:pPr>
            <w:pStyle w:val="Header"/>
            <w:ind w:left="-115"/>
          </w:pPr>
        </w:p>
      </w:tc>
      <w:tc>
        <w:tcPr>
          <w:tcW w:w="3120" w:type="dxa"/>
        </w:tcPr>
        <w:p w14:paraId="55AFB343" w14:textId="2275286E" w:rsidR="00282B25" w:rsidRDefault="00282B25" w:rsidP="00282B25">
          <w:pPr>
            <w:pStyle w:val="Header"/>
            <w:jc w:val="center"/>
          </w:pPr>
        </w:p>
      </w:tc>
      <w:tc>
        <w:tcPr>
          <w:tcW w:w="3120" w:type="dxa"/>
        </w:tcPr>
        <w:p w14:paraId="27775727" w14:textId="0B1ABF74" w:rsidR="00282B25" w:rsidRDefault="00282B25" w:rsidP="00282B25">
          <w:pPr>
            <w:pStyle w:val="Header"/>
            <w:ind w:right="-115"/>
            <w:jc w:val="right"/>
          </w:pPr>
          <w:r>
            <w:fldChar w:fldCharType="begin"/>
          </w:r>
          <w:r>
            <w:instrText>PAGE</w:instrText>
          </w:r>
          <w:r>
            <w:fldChar w:fldCharType="separate"/>
          </w:r>
          <w:r w:rsidR="00D31E9D">
            <w:rPr>
              <w:noProof/>
            </w:rPr>
            <w:t>2</w:t>
          </w:r>
          <w:r>
            <w:fldChar w:fldCharType="end"/>
          </w:r>
        </w:p>
      </w:tc>
    </w:tr>
  </w:tbl>
  <w:p w14:paraId="3B9ED0D4" w14:textId="01D106CA" w:rsidR="00282B25" w:rsidRDefault="00282B25" w:rsidP="00282B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AFC7898" w14:paraId="6B434260" w14:textId="77777777" w:rsidTr="0AFC7898">
      <w:trPr>
        <w:trHeight w:val="300"/>
      </w:trPr>
      <w:tc>
        <w:tcPr>
          <w:tcW w:w="3120" w:type="dxa"/>
        </w:tcPr>
        <w:p w14:paraId="571F14CE" w14:textId="273CE537" w:rsidR="0AFC7898" w:rsidRDefault="0AFC7898" w:rsidP="0AFC7898">
          <w:pPr>
            <w:pStyle w:val="Header"/>
            <w:ind w:left="-115"/>
          </w:pPr>
        </w:p>
      </w:tc>
      <w:tc>
        <w:tcPr>
          <w:tcW w:w="3120" w:type="dxa"/>
        </w:tcPr>
        <w:p w14:paraId="14882DB4" w14:textId="09784CE9" w:rsidR="0AFC7898" w:rsidRDefault="0AFC7898" w:rsidP="0AFC7898">
          <w:pPr>
            <w:pStyle w:val="Header"/>
            <w:jc w:val="center"/>
          </w:pPr>
        </w:p>
      </w:tc>
      <w:tc>
        <w:tcPr>
          <w:tcW w:w="3120" w:type="dxa"/>
        </w:tcPr>
        <w:p w14:paraId="492B2724" w14:textId="02DC6035" w:rsidR="0AFC7898" w:rsidRDefault="0AFC7898" w:rsidP="0AFC7898">
          <w:pPr>
            <w:pStyle w:val="Header"/>
            <w:ind w:right="-115"/>
            <w:jc w:val="right"/>
          </w:pPr>
        </w:p>
      </w:tc>
    </w:tr>
  </w:tbl>
  <w:p w14:paraId="4FD73A07" w14:textId="4D49B698" w:rsidR="0AFC7898" w:rsidRDefault="0AFC7898" w:rsidP="0AFC7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BAC82" w14:textId="77777777" w:rsidR="00A717D1" w:rsidRDefault="00A717D1">
      <w:pPr>
        <w:spacing w:after="0" w:line="240" w:lineRule="auto"/>
      </w:pPr>
      <w:r>
        <w:separator/>
      </w:r>
    </w:p>
  </w:footnote>
  <w:footnote w:type="continuationSeparator" w:id="0">
    <w:p w14:paraId="1F5B0FD2" w14:textId="77777777" w:rsidR="00A717D1" w:rsidRDefault="00A717D1">
      <w:pPr>
        <w:spacing w:after="0" w:line="240" w:lineRule="auto"/>
      </w:pPr>
      <w:r>
        <w:continuationSeparator/>
      </w:r>
    </w:p>
  </w:footnote>
  <w:footnote w:id="1">
    <w:p w14:paraId="09196FAF" w14:textId="77777777" w:rsidR="00AC224D" w:rsidRDefault="00AC224D" w:rsidP="00AC224D">
      <w:pPr>
        <w:pStyle w:val="FootnoteText"/>
      </w:pPr>
      <w:r>
        <w:rPr>
          <w:rStyle w:val="FootnoteReference"/>
        </w:rPr>
        <w:footnoteRef/>
      </w:r>
      <w:r>
        <w:t xml:space="preserve"> </w:t>
      </w:r>
      <w:r w:rsidRPr="00E13775">
        <w:t>Auerbach, M., &amp; DeLoughery, T.</w:t>
      </w:r>
      <w:r w:rsidRPr="00E13775">
        <w:rPr>
          <w:rFonts w:ascii="Arial" w:hAnsi="Arial" w:cs="Arial"/>
        </w:rPr>
        <w:t> </w:t>
      </w:r>
      <w:r w:rsidRPr="00E13775">
        <w:t>G. (</w:t>
      </w:r>
      <w:r>
        <w:t>2025</w:t>
      </w:r>
      <w:r w:rsidRPr="00E13775">
        <w:t xml:space="preserve">, </w:t>
      </w:r>
      <w:r>
        <w:t>June 16</w:t>
      </w:r>
      <w:r w:rsidRPr="00E13775">
        <w:t>). Treatment of iron deficiency and iron deficiency anemia in adults. In UpToDate. Retrieved June</w:t>
      </w:r>
      <w:r w:rsidRPr="00E13775">
        <w:rPr>
          <w:rFonts w:ascii="Arial" w:hAnsi="Arial" w:cs="Arial"/>
        </w:rPr>
        <w:t> </w:t>
      </w:r>
      <w:r w:rsidRPr="00E13775">
        <w:t>23,</w:t>
      </w:r>
      <w:r w:rsidRPr="00E13775">
        <w:rPr>
          <w:rFonts w:ascii="Arial" w:hAnsi="Arial" w:cs="Arial"/>
        </w:rPr>
        <w:t> </w:t>
      </w:r>
      <w:r w:rsidRPr="00E13775">
        <w:t xml:space="preserve">2025, from </w:t>
      </w:r>
      <w:hyperlink r:id="rId1" w:history="1">
        <w:r w:rsidRPr="001B048C">
          <w:rPr>
            <w:rStyle w:val="Hyperlink"/>
          </w:rPr>
          <w:t>https://www.uptodate.com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282B25" w14:paraId="65BB6104" w14:textId="77777777" w:rsidTr="00282B25">
      <w:trPr>
        <w:trHeight w:val="300"/>
      </w:trPr>
      <w:tc>
        <w:tcPr>
          <w:tcW w:w="3120" w:type="dxa"/>
        </w:tcPr>
        <w:p w14:paraId="53689A60" w14:textId="1B24CB5C" w:rsidR="00282B25" w:rsidRDefault="00282B25" w:rsidP="00282B25">
          <w:pPr>
            <w:pStyle w:val="Header"/>
            <w:ind w:left="-115"/>
          </w:pPr>
        </w:p>
      </w:tc>
      <w:tc>
        <w:tcPr>
          <w:tcW w:w="3120" w:type="dxa"/>
        </w:tcPr>
        <w:p w14:paraId="57751817" w14:textId="6C0FAAF9" w:rsidR="00282B25" w:rsidRDefault="00282B25" w:rsidP="00282B25">
          <w:pPr>
            <w:pStyle w:val="Header"/>
            <w:jc w:val="center"/>
          </w:pPr>
        </w:p>
      </w:tc>
      <w:tc>
        <w:tcPr>
          <w:tcW w:w="3120" w:type="dxa"/>
        </w:tcPr>
        <w:p w14:paraId="451C6BBD" w14:textId="30F7E905" w:rsidR="00282B25" w:rsidRDefault="00282B25" w:rsidP="00282B25">
          <w:pPr>
            <w:pStyle w:val="Header"/>
            <w:ind w:right="-115"/>
            <w:jc w:val="right"/>
          </w:pPr>
        </w:p>
      </w:tc>
    </w:tr>
  </w:tbl>
  <w:p w14:paraId="584D9F27" w14:textId="47B34AC8" w:rsidR="00282B25" w:rsidRDefault="00282B25" w:rsidP="00282B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AFC7898" w14:paraId="3DEEAF4A" w14:textId="77777777" w:rsidTr="0AFC7898">
      <w:trPr>
        <w:trHeight w:val="300"/>
      </w:trPr>
      <w:tc>
        <w:tcPr>
          <w:tcW w:w="3120" w:type="dxa"/>
        </w:tcPr>
        <w:p w14:paraId="64D2AEA7" w14:textId="6FF51D6D" w:rsidR="0AFC7898" w:rsidRDefault="0AFC7898" w:rsidP="0AFC7898">
          <w:pPr>
            <w:pStyle w:val="Header"/>
            <w:ind w:left="-115"/>
          </w:pPr>
        </w:p>
      </w:tc>
      <w:tc>
        <w:tcPr>
          <w:tcW w:w="3120" w:type="dxa"/>
        </w:tcPr>
        <w:p w14:paraId="06700CE9" w14:textId="341EE660" w:rsidR="0AFC7898" w:rsidRDefault="0AFC7898" w:rsidP="0AFC7898">
          <w:pPr>
            <w:pStyle w:val="Header"/>
            <w:jc w:val="center"/>
          </w:pPr>
        </w:p>
      </w:tc>
      <w:tc>
        <w:tcPr>
          <w:tcW w:w="3120" w:type="dxa"/>
        </w:tcPr>
        <w:p w14:paraId="58BC6267" w14:textId="11091F2E" w:rsidR="0AFC7898" w:rsidRDefault="0AFC7898" w:rsidP="0AFC7898">
          <w:pPr>
            <w:pStyle w:val="Header"/>
            <w:ind w:right="-115"/>
            <w:jc w:val="right"/>
          </w:pPr>
        </w:p>
      </w:tc>
    </w:tr>
  </w:tbl>
  <w:p w14:paraId="6F7CC90C" w14:textId="1FD3AB12" w:rsidR="0AFC7898" w:rsidRDefault="0AFC7898" w:rsidP="0AFC78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E2232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0A8692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F724F2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A026BC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4D04AC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9A5E4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6B64B8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5E1D4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D5CDC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1B282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5C3F4D"/>
    <w:multiLevelType w:val="hybridMultilevel"/>
    <w:tmpl w:val="80DC0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674E80"/>
    <w:multiLevelType w:val="hybridMultilevel"/>
    <w:tmpl w:val="978A0C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0024F7B"/>
    <w:multiLevelType w:val="hybridMultilevel"/>
    <w:tmpl w:val="DE34FAA2"/>
    <w:lvl w:ilvl="0" w:tplc="04090001">
      <w:start w:val="1"/>
      <w:numFmt w:val="bullet"/>
      <w:lvlText w:val=""/>
      <w:lvlJc w:val="left"/>
      <w:pPr>
        <w:ind w:left="720" w:hanging="360"/>
      </w:pPr>
      <w:rPr>
        <w:rFonts w:ascii="Symbol" w:hAnsi="Symbol" w:hint="default"/>
      </w:rPr>
    </w:lvl>
    <w:lvl w:ilvl="1" w:tplc="C04A847A">
      <w:start w:val="1"/>
      <w:numFmt w:val="bullet"/>
      <w:lvlText w:val="o"/>
      <w:lvlJc w:val="left"/>
      <w:pPr>
        <w:ind w:left="1440" w:hanging="360"/>
      </w:pPr>
      <w:rPr>
        <w:rFonts w:ascii="Courier New" w:hAnsi="Courier New" w:cs="Courier New" w:hint="default"/>
        <w:strike w:val="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9A4061"/>
    <w:multiLevelType w:val="hybridMultilevel"/>
    <w:tmpl w:val="76225B0C"/>
    <w:lvl w:ilvl="0" w:tplc="2EC48444">
      <w:start w:val="1"/>
      <w:numFmt w:val="bullet"/>
      <w:lvlText w:val=""/>
      <w:lvlJc w:val="left"/>
      <w:pPr>
        <w:ind w:left="720" w:hanging="360"/>
      </w:pPr>
      <w:rPr>
        <w:rFonts w:ascii="Symbol" w:hAnsi="Symbol" w:hint="default"/>
      </w:rPr>
    </w:lvl>
    <w:lvl w:ilvl="1" w:tplc="9DC64AE2">
      <w:start w:val="1"/>
      <w:numFmt w:val="bullet"/>
      <w:lvlText w:val="o"/>
      <w:lvlJc w:val="left"/>
      <w:pPr>
        <w:ind w:left="1440" w:hanging="360"/>
      </w:pPr>
      <w:rPr>
        <w:rFonts w:ascii="Courier New" w:hAnsi="Courier New" w:hint="default"/>
      </w:rPr>
    </w:lvl>
    <w:lvl w:ilvl="2" w:tplc="2DCE8128">
      <w:start w:val="1"/>
      <w:numFmt w:val="bullet"/>
      <w:lvlText w:val=""/>
      <w:lvlJc w:val="left"/>
      <w:pPr>
        <w:ind w:left="2160" w:hanging="360"/>
      </w:pPr>
      <w:rPr>
        <w:rFonts w:ascii="Wingdings" w:hAnsi="Wingdings" w:hint="default"/>
      </w:rPr>
    </w:lvl>
    <w:lvl w:ilvl="3" w:tplc="39AA95DC">
      <w:start w:val="1"/>
      <w:numFmt w:val="bullet"/>
      <w:lvlText w:val=""/>
      <w:lvlJc w:val="left"/>
      <w:pPr>
        <w:ind w:left="2880" w:hanging="360"/>
      </w:pPr>
      <w:rPr>
        <w:rFonts w:ascii="Symbol" w:hAnsi="Symbol" w:hint="default"/>
      </w:rPr>
    </w:lvl>
    <w:lvl w:ilvl="4" w:tplc="C2E682D4">
      <w:start w:val="1"/>
      <w:numFmt w:val="bullet"/>
      <w:lvlText w:val="o"/>
      <w:lvlJc w:val="left"/>
      <w:pPr>
        <w:ind w:left="3600" w:hanging="360"/>
      </w:pPr>
      <w:rPr>
        <w:rFonts w:ascii="Courier New" w:hAnsi="Courier New" w:hint="default"/>
      </w:rPr>
    </w:lvl>
    <w:lvl w:ilvl="5" w:tplc="9CA03F7E">
      <w:start w:val="1"/>
      <w:numFmt w:val="bullet"/>
      <w:lvlText w:val=""/>
      <w:lvlJc w:val="left"/>
      <w:pPr>
        <w:ind w:left="4320" w:hanging="360"/>
      </w:pPr>
      <w:rPr>
        <w:rFonts w:ascii="Wingdings" w:hAnsi="Wingdings" w:hint="default"/>
      </w:rPr>
    </w:lvl>
    <w:lvl w:ilvl="6" w:tplc="5476C704">
      <w:start w:val="1"/>
      <w:numFmt w:val="bullet"/>
      <w:lvlText w:val=""/>
      <w:lvlJc w:val="left"/>
      <w:pPr>
        <w:ind w:left="5040" w:hanging="360"/>
      </w:pPr>
      <w:rPr>
        <w:rFonts w:ascii="Symbol" w:hAnsi="Symbol" w:hint="default"/>
      </w:rPr>
    </w:lvl>
    <w:lvl w:ilvl="7" w:tplc="A17C8ECA">
      <w:start w:val="1"/>
      <w:numFmt w:val="bullet"/>
      <w:lvlText w:val="o"/>
      <w:lvlJc w:val="left"/>
      <w:pPr>
        <w:ind w:left="5760" w:hanging="360"/>
      </w:pPr>
      <w:rPr>
        <w:rFonts w:ascii="Courier New" w:hAnsi="Courier New" w:hint="default"/>
      </w:rPr>
    </w:lvl>
    <w:lvl w:ilvl="8" w:tplc="79B4933E">
      <w:start w:val="1"/>
      <w:numFmt w:val="bullet"/>
      <w:lvlText w:val=""/>
      <w:lvlJc w:val="left"/>
      <w:pPr>
        <w:ind w:left="6480" w:hanging="360"/>
      </w:pPr>
      <w:rPr>
        <w:rFonts w:ascii="Wingdings" w:hAnsi="Wingdings" w:hint="default"/>
      </w:rPr>
    </w:lvl>
  </w:abstractNum>
  <w:abstractNum w:abstractNumId="14" w15:restartNumberingAfterBreak="0">
    <w:nsid w:val="12F56639"/>
    <w:multiLevelType w:val="hybridMultilevel"/>
    <w:tmpl w:val="F0B4BC82"/>
    <w:lvl w:ilvl="0" w:tplc="BE6CA95C">
      <w:start w:val="1"/>
      <w:numFmt w:val="bullet"/>
      <w:lvlText w:val=""/>
      <w:lvlJc w:val="left"/>
      <w:pPr>
        <w:ind w:left="2160" w:hanging="360"/>
      </w:pPr>
      <w:rPr>
        <w:rFonts w:ascii="Symbol" w:hAnsi="Symbol"/>
      </w:rPr>
    </w:lvl>
    <w:lvl w:ilvl="1" w:tplc="B9FA2618">
      <w:start w:val="1"/>
      <w:numFmt w:val="bullet"/>
      <w:lvlText w:val=""/>
      <w:lvlJc w:val="left"/>
      <w:pPr>
        <w:ind w:left="2160" w:hanging="360"/>
      </w:pPr>
      <w:rPr>
        <w:rFonts w:ascii="Symbol" w:hAnsi="Symbol"/>
      </w:rPr>
    </w:lvl>
    <w:lvl w:ilvl="2" w:tplc="5D98FFA6">
      <w:start w:val="1"/>
      <w:numFmt w:val="bullet"/>
      <w:lvlText w:val=""/>
      <w:lvlJc w:val="left"/>
      <w:pPr>
        <w:ind w:left="2880" w:hanging="360"/>
      </w:pPr>
      <w:rPr>
        <w:rFonts w:ascii="Symbol" w:hAnsi="Symbol"/>
      </w:rPr>
    </w:lvl>
    <w:lvl w:ilvl="3" w:tplc="5212E5AE">
      <w:start w:val="1"/>
      <w:numFmt w:val="bullet"/>
      <w:lvlText w:val=""/>
      <w:lvlJc w:val="left"/>
      <w:pPr>
        <w:ind w:left="2160" w:hanging="360"/>
      </w:pPr>
      <w:rPr>
        <w:rFonts w:ascii="Symbol" w:hAnsi="Symbol"/>
      </w:rPr>
    </w:lvl>
    <w:lvl w:ilvl="4" w:tplc="03F07182">
      <w:start w:val="1"/>
      <w:numFmt w:val="bullet"/>
      <w:lvlText w:val=""/>
      <w:lvlJc w:val="left"/>
      <w:pPr>
        <w:ind w:left="2160" w:hanging="360"/>
      </w:pPr>
      <w:rPr>
        <w:rFonts w:ascii="Symbol" w:hAnsi="Symbol"/>
      </w:rPr>
    </w:lvl>
    <w:lvl w:ilvl="5" w:tplc="11C61C72">
      <w:start w:val="1"/>
      <w:numFmt w:val="bullet"/>
      <w:lvlText w:val=""/>
      <w:lvlJc w:val="left"/>
      <w:pPr>
        <w:ind w:left="2160" w:hanging="360"/>
      </w:pPr>
      <w:rPr>
        <w:rFonts w:ascii="Symbol" w:hAnsi="Symbol"/>
      </w:rPr>
    </w:lvl>
    <w:lvl w:ilvl="6" w:tplc="848EA45C">
      <w:start w:val="1"/>
      <w:numFmt w:val="bullet"/>
      <w:lvlText w:val=""/>
      <w:lvlJc w:val="left"/>
      <w:pPr>
        <w:ind w:left="2160" w:hanging="360"/>
      </w:pPr>
      <w:rPr>
        <w:rFonts w:ascii="Symbol" w:hAnsi="Symbol"/>
      </w:rPr>
    </w:lvl>
    <w:lvl w:ilvl="7" w:tplc="CFE04CE8">
      <w:start w:val="1"/>
      <w:numFmt w:val="bullet"/>
      <w:lvlText w:val=""/>
      <w:lvlJc w:val="left"/>
      <w:pPr>
        <w:ind w:left="2160" w:hanging="360"/>
      </w:pPr>
      <w:rPr>
        <w:rFonts w:ascii="Symbol" w:hAnsi="Symbol"/>
      </w:rPr>
    </w:lvl>
    <w:lvl w:ilvl="8" w:tplc="F2089BDA">
      <w:start w:val="1"/>
      <w:numFmt w:val="bullet"/>
      <w:lvlText w:val=""/>
      <w:lvlJc w:val="left"/>
      <w:pPr>
        <w:ind w:left="2160" w:hanging="360"/>
      </w:pPr>
      <w:rPr>
        <w:rFonts w:ascii="Symbol" w:hAnsi="Symbol"/>
      </w:rPr>
    </w:lvl>
  </w:abstractNum>
  <w:abstractNum w:abstractNumId="15" w15:restartNumberingAfterBreak="0">
    <w:nsid w:val="15CB3A53"/>
    <w:multiLevelType w:val="hybridMultilevel"/>
    <w:tmpl w:val="6AD85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167D79"/>
    <w:multiLevelType w:val="hybridMultilevel"/>
    <w:tmpl w:val="9A0C3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3CE3DF4">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323A36"/>
    <w:multiLevelType w:val="hybridMultilevel"/>
    <w:tmpl w:val="B906B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4917EB"/>
    <w:multiLevelType w:val="hybridMultilevel"/>
    <w:tmpl w:val="2D2E8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23324D"/>
    <w:multiLevelType w:val="hybridMultilevel"/>
    <w:tmpl w:val="F238F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1C68A4"/>
    <w:multiLevelType w:val="hybridMultilevel"/>
    <w:tmpl w:val="3C169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5E5284"/>
    <w:multiLevelType w:val="hybridMultilevel"/>
    <w:tmpl w:val="D50A7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255B9E"/>
    <w:multiLevelType w:val="hybridMultilevel"/>
    <w:tmpl w:val="933A8BE8"/>
    <w:lvl w:ilvl="0" w:tplc="CAF485C8">
      <w:start w:val="1"/>
      <w:numFmt w:val="bullet"/>
      <w:lvlText w:val=""/>
      <w:lvlJc w:val="left"/>
      <w:pPr>
        <w:ind w:left="720" w:hanging="360"/>
      </w:pPr>
      <w:rPr>
        <w:rFonts w:ascii="Symbol" w:hAnsi="Symbol" w:hint="default"/>
      </w:rPr>
    </w:lvl>
    <w:lvl w:ilvl="1" w:tplc="E1C61462">
      <w:start w:val="1"/>
      <w:numFmt w:val="bullet"/>
      <w:lvlText w:val="o"/>
      <w:lvlJc w:val="left"/>
      <w:pPr>
        <w:ind w:left="1440" w:hanging="360"/>
      </w:pPr>
      <w:rPr>
        <w:rFonts w:ascii="Courier New" w:hAnsi="Courier New" w:hint="default"/>
      </w:rPr>
    </w:lvl>
    <w:lvl w:ilvl="2" w:tplc="3DB49112">
      <w:start w:val="1"/>
      <w:numFmt w:val="bullet"/>
      <w:lvlText w:val=""/>
      <w:lvlJc w:val="left"/>
      <w:pPr>
        <w:ind w:left="2160" w:hanging="360"/>
      </w:pPr>
      <w:rPr>
        <w:rFonts w:ascii="Wingdings" w:hAnsi="Wingdings" w:hint="default"/>
      </w:rPr>
    </w:lvl>
    <w:lvl w:ilvl="3" w:tplc="E594E3FE">
      <w:start w:val="1"/>
      <w:numFmt w:val="bullet"/>
      <w:lvlText w:val=""/>
      <w:lvlJc w:val="left"/>
      <w:pPr>
        <w:ind w:left="2880" w:hanging="360"/>
      </w:pPr>
      <w:rPr>
        <w:rFonts w:ascii="Symbol" w:hAnsi="Symbol" w:hint="default"/>
      </w:rPr>
    </w:lvl>
    <w:lvl w:ilvl="4" w:tplc="2C843BDA">
      <w:start w:val="1"/>
      <w:numFmt w:val="bullet"/>
      <w:lvlText w:val="o"/>
      <w:lvlJc w:val="left"/>
      <w:pPr>
        <w:ind w:left="3600" w:hanging="360"/>
      </w:pPr>
      <w:rPr>
        <w:rFonts w:ascii="Courier New" w:hAnsi="Courier New" w:hint="default"/>
      </w:rPr>
    </w:lvl>
    <w:lvl w:ilvl="5" w:tplc="80222AD4">
      <w:start w:val="1"/>
      <w:numFmt w:val="bullet"/>
      <w:lvlText w:val=""/>
      <w:lvlJc w:val="left"/>
      <w:pPr>
        <w:ind w:left="4320" w:hanging="360"/>
      </w:pPr>
      <w:rPr>
        <w:rFonts w:ascii="Wingdings" w:hAnsi="Wingdings" w:hint="default"/>
      </w:rPr>
    </w:lvl>
    <w:lvl w:ilvl="6" w:tplc="816EC17E">
      <w:start w:val="1"/>
      <w:numFmt w:val="bullet"/>
      <w:lvlText w:val=""/>
      <w:lvlJc w:val="left"/>
      <w:pPr>
        <w:ind w:left="5040" w:hanging="360"/>
      </w:pPr>
      <w:rPr>
        <w:rFonts w:ascii="Symbol" w:hAnsi="Symbol" w:hint="default"/>
      </w:rPr>
    </w:lvl>
    <w:lvl w:ilvl="7" w:tplc="BB2613B4">
      <w:start w:val="1"/>
      <w:numFmt w:val="bullet"/>
      <w:lvlText w:val="o"/>
      <w:lvlJc w:val="left"/>
      <w:pPr>
        <w:ind w:left="5760" w:hanging="360"/>
      </w:pPr>
      <w:rPr>
        <w:rFonts w:ascii="Courier New" w:hAnsi="Courier New" w:hint="default"/>
      </w:rPr>
    </w:lvl>
    <w:lvl w:ilvl="8" w:tplc="4B5209FC">
      <w:start w:val="1"/>
      <w:numFmt w:val="bullet"/>
      <w:lvlText w:val=""/>
      <w:lvlJc w:val="left"/>
      <w:pPr>
        <w:ind w:left="6480" w:hanging="360"/>
      </w:pPr>
      <w:rPr>
        <w:rFonts w:ascii="Wingdings" w:hAnsi="Wingdings" w:hint="default"/>
      </w:rPr>
    </w:lvl>
  </w:abstractNum>
  <w:abstractNum w:abstractNumId="23" w15:restartNumberingAfterBreak="0">
    <w:nsid w:val="27A0D00C"/>
    <w:multiLevelType w:val="hybridMultilevel"/>
    <w:tmpl w:val="E7A08A6C"/>
    <w:lvl w:ilvl="0" w:tplc="D62605B6">
      <w:start w:val="1"/>
      <w:numFmt w:val="bullet"/>
      <w:lvlText w:val=""/>
      <w:lvlJc w:val="left"/>
      <w:pPr>
        <w:ind w:left="720" w:hanging="360"/>
      </w:pPr>
      <w:rPr>
        <w:rFonts w:ascii="Symbol" w:hAnsi="Symbol" w:hint="default"/>
      </w:rPr>
    </w:lvl>
    <w:lvl w:ilvl="1" w:tplc="7C8A5374">
      <w:start w:val="1"/>
      <w:numFmt w:val="bullet"/>
      <w:lvlText w:val="o"/>
      <w:lvlJc w:val="left"/>
      <w:pPr>
        <w:ind w:left="1440" w:hanging="360"/>
      </w:pPr>
      <w:rPr>
        <w:rFonts w:ascii="Courier New" w:hAnsi="Courier New" w:hint="default"/>
      </w:rPr>
    </w:lvl>
    <w:lvl w:ilvl="2" w:tplc="E7AEBCAA">
      <w:start w:val="1"/>
      <w:numFmt w:val="bullet"/>
      <w:lvlText w:val=""/>
      <w:lvlJc w:val="left"/>
      <w:pPr>
        <w:ind w:left="2160" w:hanging="360"/>
      </w:pPr>
      <w:rPr>
        <w:rFonts w:ascii="Wingdings" w:hAnsi="Wingdings" w:hint="default"/>
      </w:rPr>
    </w:lvl>
    <w:lvl w:ilvl="3" w:tplc="7BE0BE5C">
      <w:start w:val="1"/>
      <w:numFmt w:val="bullet"/>
      <w:lvlText w:val=""/>
      <w:lvlJc w:val="left"/>
      <w:pPr>
        <w:ind w:left="2880" w:hanging="360"/>
      </w:pPr>
      <w:rPr>
        <w:rFonts w:ascii="Symbol" w:hAnsi="Symbol" w:hint="default"/>
      </w:rPr>
    </w:lvl>
    <w:lvl w:ilvl="4" w:tplc="6C0EB542">
      <w:start w:val="1"/>
      <w:numFmt w:val="bullet"/>
      <w:lvlText w:val="o"/>
      <w:lvlJc w:val="left"/>
      <w:pPr>
        <w:ind w:left="3600" w:hanging="360"/>
      </w:pPr>
      <w:rPr>
        <w:rFonts w:ascii="Courier New" w:hAnsi="Courier New" w:hint="default"/>
      </w:rPr>
    </w:lvl>
    <w:lvl w:ilvl="5" w:tplc="24424974">
      <w:start w:val="1"/>
      <w:numFmt w:val="bullet"/>
      <w:lvlText w:val=""/>
      <w:lvlJc w:val="left"/>
      <w:pPr>
        <w:ind w:left="4320" w:hanging="360"/>
      </w:pPr>
      <w:rPr>
        <w:rFonts w:ascii="Wingdings" w:hAnsi="Wingdings" w:hint="default"/>
      </w:rPr>
    </w:lvl>
    <w:lvl w:ilvl="6" w:tplc="4B30BED4">
      <w:start w:val="1"/>
      <w:numFmt w:val="bullet"/>
      <w:lvlText w:val=""/>
      <w:lvlJc w:val="left"/>
      <w:pPr>
        <w:ind w:left="5040" w:hanging="360"/>
      </w:pPr>
      <w:rPr>
        <w:rFonts w:ascii="Symbol" w:hAnsi="Symbol" w:hint="default"/>
      </w:rPr>
    </w:lvl>
    <w:lvl w:ilvl="7" w:tplc="60169A40">
      <w:start w:val="1"/>
      <w:numFmt w:val="bullet"/>
      <w:lvlText w:val="o"/>
      <w:lvlJc w:val="left"/>
      <w:pPr>
        <w:ind w:left="5760" w:hanging="360"/>
      </w:pPr>
      <w:rPr>
        <w:rFonts w:ascii="Courier New" w:hAnsi="Courier New" w:hint="default"/>
      </w:rPr>
    </w:lvl>
    <w:lvl w:ilvl="8" w:tplc="F140B36A">
      <w:start w:val="1"/>
      <w:numFmt w:val="bullet"/>
      <w:lvlText w:val=""/>
      <w:lvlJc w:val="left"/>
      <w:pPr>
        <w:ind w:left="6480" w:hanging="360"/>
      </w:pPr>
      <w:rPr>
        <w:rFonts w:ascii="Wingdings" w:hAnsi="Wingdings" w:hint="default"/>
      </w:rPr>
    </w:lvl>
  </w:abstractNum>
  <w:abstractNum w:abstractNumId="24" w15:restartNumberingAfterBreak="0">
    <w:nsid w:val="28A460C0"/>
    <w:multiLevelType w:val="singleLevel"/>
    <w:tmpl w:val="10C81964"/>
    <w:lvl w:ilvl="0">
      <w:start w:val="1"/>
      <w:numFmt w:val="bullet"/>
      <w:lvlText w:val=""/>
      <w:lvlJc w:val="left"/>
      <w:pPr>
        <w:tabs>
          <w:tab w:val="num" w:pos="360"/>
        </w:tabs>
        <w:ind w:left="360" w:hanging="360"/>
      </w:pPr>
      <w:rPr>
        <w:rFonts w:ascii="Symbol" w:hAnsi="Symbol" w:hint="default"/>
        <w:sz w:val="20"/>
      </w:rPr>
    </w:lvl>
  </w:abstractNum>
  <w:abstractNum w:abstractNumId="25" w15:restartNumberingAfterBreak="0">
    <w:nsid w:val="2B865DF8"/>
    <w:multiLevelType w:val="hybridMultilevel"/>
    <w:tmpl w:val="94620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825F55"/>
    <w:multiLevelType w:val="hybridMultilevel"/>
    <w:tmpl w:val="24483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D30F6F"/>
    <w:multiLevelType w:val="hybridMultilevel"/>
    <w:tmpl w:val="3E409BC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2087E8B"/>
    <w:multiLevelType w:val="hybridMultilevel"/>
    <w:tmpl w:val="2D1A8C08"/>
    <w:lvl w:ilvl="0" w:tplc="9064B822">
      <w:start w:val="1"/>
      <w:numFmt w:val="bullet"/>
      <w:lvlText w:val=""/>
      <w:lvlJc w:val="left"/>
      <w:pPr>
        <w:ind w:left="720" w:hanging="360"/>
      </w:pPr>
      <w:rPr>
        <w:rFonts w:ascii="Symbol" w:hAnsi="Symbol" w:hint="default"/>
      </w:rPr>
    </w:lvl>
    <w:lvl w:ilvl="1" w:tplc="9B8268E0">
      <w:start w:val="1"/>
      <w:numFmt w:val="bullet"/>
      <w:lvlText w:val="o"/>
      <w:lvlJc w:val="left"/>
      <w:pPr>
        <w:ind w:left="1440" w:hanging="360"/>
      </w:pPr>
      <w:rPr>
        <w:rFonts w:ascii="Courier New" w:hAnsi="Courier New" w:hint="default"/>
      </w:rPr>
    </w:lvl>
    <w:lvl w:ilvl="2" w:tplc="C31EC9E4">
      <w:start w:val="1"/>
      <w:numFmt w:val="bullet"/>
      <w:lvlText w:val=""/>
      <w:lvlJc w:val="left"/>
      <w:pPr>
        <w:ind w:left="2160" w:hanging="360"/>
      </w:pPr>
      <w:rPr>
        <w:rFonts w:ascii="Wingdings" w:hAnsi="Wingdings" w:hint="default"/>
      </w:rPr>
    </w:lvl>
    <w:lvl w:ilvl="3" w:tplc="BD7E41FE">
      <w:start w:val="1"/>
      <w:numFmt w:val="bullet"/>
      <w:lvlText w:val=""/>
      <w:lvlJc w:val="left"/>
      <w:pPr>
        <w:ind w:left="2880" w:hanging="360"/>
      </w:pPr>
      <w:rPr>
        <w:rFonts w:ascii="Symbol" w:hAnsi="Symbol" w:hint="default"/>
      </w:rPr>
    </w:lvl>
    <w:lvl w:ilvl="4" w:tplc="437A2614">
      <w:start w:val="1"/>
      <w:numFmt w:val="bullet"/>
      <w:lvlText w:val="o"/>
      <w:lvlJc w:val="left"/>
      <w:pPr>
        <w:ind w:left="3600" w:hanging="360"/>
      </w:pPr>
      <w:rPr>
        <w:rFonts w:ascii="Courier New" w:hAnsi="Courier New" w:hint="default"/>
      </w:rPr>
    </w:lvl>
    <w:lvl w:ilvl="5" w:tplc="2FDEA59E">
      <w:start w:val="1"/>
      <w:numFmt w:val="bullet"/>
      <w:lvlText w:val=""/>
      <w:lvlJc w:val="left"/>
      <w:pPr>
        <w:ind w:left="4320" w:hanging="360"/>
      </w:pPr>
      <w:rPr>
        <w:rFonts w:ascii="Wingdings" w:hAnsi="Wingdings" w:hint="default"/>
      </w:rPr>
    </w:lvl>
    <w:lvl w:ilvl="6" w:tplc="12606A56">
      <w:start w:val="1"/>
      <w:numFmt w:val="bullet"/>
      <w:lvlText w:val=""/>
      <w:lvlJc w:val="left"/>
      <w:pPr>
        <w:ind w:left="5040" w:hanging="360"/>
      </w:pPr>
      <w:rPr>
        <w:rFonts w:ascii="Symbol" w:hAnsi="Symbol" w:hint="default"/>
      </w:rPr>
    </w:lvl>
    <w:lvl w:ilvl="7" w:tplc="DE7003B6">
      <w:start w:val="1"/>
      <w:numFmt w:val="bullet"/>
      <w:lvlText w:val="o"/>
      <w:lvlJc w:val="left"/>
      <w:pPr>
        <w:ind w:left="5760" w:hanging="360"/>
      </w:pPr>
      <w:rPr>
        <w:rFonts w:ascii="Courier New" w:hAnsi="Courier New" w:hint="default"/>
      </w:rPr>
    </w:lvl>
    <w:lvl w:ilvl="8" w:tplc="9D2C0A98">
      <w:start w:val="1"/>
      <w:numFmt w:val="bullet"/>
      <w:lvlText w:val=""/>
      <w:lvlJc w:val="left"/>
      <w:pPr>
        <w:ind w:left="6480" w:hanging="360"/>
      </w:pPr>
      <w:rPr>
        <w:rFonts w:ascii="Wingdings" w:hAnsi="Wingdings" w:hint="default"/>
      </w:rPr>
    </w:lvl>
  </w:abstractNum>
  <w:abstractNum w:abstractNumId="29" w15:restartNumberingAfterBreak="0">
    <w:nsid w:val="4487F409"/>
    <w:multiLevelType w:val="hybridMultilevel"/>
    <w:tmpl w:val="D7102D6A"/>
    <w:lvl w:ilvl="0" w:tplc="B9186270">
      <w:start w:val="1"/>
      <w:numFmt w:val="bullet"/>
      <w:lvlText w:val=""/>
      <w:lvlJc w:val="left"/>
      <w:pPr>
        <w:ind w:left="720" w:hanging="360"/>
      </w:pPr>
      <w:rPr>
        <w:rFonts w:ascii="Symbol" w:hAnsi="Symbol" w:hint="default"/>
      </w:rPr>
    </w:lvl>
    <w:lvl w:ilvl="1" w:tplc="C8E6D26A">
      <w:start w:val="1"/>
      <w:numFmt w:val="bullet"/>
      <w:lvlText w:val="o"/>
      <w:lvlJc w:val="left"/>
      <w:pPr>
        <w:ind w:left="1440" w:hanging="360"/>
      </w:pPr>
      <w:rPr>
        <w:rFonts w:ascii="Courier New" w:hAnsi="Courier New" w:hint="default"/>
      </w:rPr>
    </w:lvl>
    <w:lvl w:ilvl="2" w:tplc="A5E6EF94">
      <w:start w:val="1"/>
      <w:numFmt w:val="bullet"/>
      <w:lvlText w:val=""/>
      <w:lvlJc w:val="left"/>
      <w:pPr>
        <w:ind w:left="2160" w:hanging="360"/>
      </w:pPr>
      <w:rPr>
        <w:rFonts w:ascii="Wingdings" w:hAnsi="Wingdings" w:hint="default"/>
      </w:rPr>
    </w:lvl>
    <w:lvl w:ilvl="3" w:tplc="9A32D7A8">
      <w:start w:val="1"/>
      <w:numFmt w:val="bullet"/>
      <w:lvlText w:val=""/>
      <w:lvlJc w:val="left"/>
      <w:pPr>
        <w:ind w:left="2880" w:hanging="360"/>
      </w:pPr>
      <w:rPr>
        <w:rFonts w:ascii="Symbol" w:hAnsi="Symbol" w:hint="default"/>
      </w:rPr>
    </w:lvl>
    <w:lvl w:ilvl="4" w:tplc="ED2E89EA">
      <w:start w:val="1"/>
      <w:numFmt w:val="bullet"/>
      <w:lvlText w:val="o"/>
      <w:lvlJc w:val="left"/>
      <w:pPr>
        <w:ind w:left="3600" w:hanging="360"/>
      </w:pPr>
      <w:rPr>
        <w:rFonts w:ascii="Courier New" w:hAnsi="Courier New" w:hint="default"/>
      </w:rPr>
    </w:lvl>
    <w:lvl w:ilvl="5" w:tplc="45EA878C">
      <w:start w:val="1"/>
      <w:numFmt w:val="bullet"/>
      <w:lvlText w:val=""/>
      <w:lvlJc w:val="left"/>
      <w:pPr>
        <w:ind w:left="4320" w:hanging="360"/>
      </w:pPr>
      <w:rPr>
        <w:rFonts w:ascii="Wingdings" w:hAnsi="Wingdings" w:hint="default"/>
      </w:rPr>
    </w:lvl>
    <w:lvl w:ilvl="6" w:tplc="817C15E0">
      <w:start w:val="1"/>
      <w:numFmt w:val="bullet"/>
      <w:lvlText w:val=""/>
      <w:lvlJc w:val="left"/>
      <w:pPr>
        <w:ind w:left="5040" w:hanging="360"/>
      </w:pPr>
      <w:rPr>
        <w:rFonts w:ascii="Symbol" w:hAnsi="Symbol" w:hint="default"/>
      </w:rPr>
    </w:lvl>
    <w:lvl w:ilvl="7" w:tplc="7C960408">
      <w:start w:val="1"/>
      <w:numFmt w:val="bullet"/>
      <w:lvlText w:val="o"/>
      <w:lvlJc w:val="left"/>
      <w:pPr>
        <w:ind w:left="5760" w:hanging="360"/>
      </w:pPr>
      <w:rPr>
        <w:rFonts w:ascii="Courier New" w:hAnsi="Courier New" w:hint="default"/>
      </w:rPr>
    </w:lvl>
    <w:lvl w:ilvl="8" w:tplc="19E851DE">
      <w:start w:val="1"/>
      <w:numFmt w:val="bullet"/>
      <w:lvlText w:val=""/>
      <w:lvlJc w:val="left"/>
      <w:pPr>
        <w:ind w:left="6480" w:hanging="360"/>
      </w:pPr>
      <w:rPr>
        <w:rFonts w:ascii="Wingdings" w:hAnsi="Wingdings" w:hint="default"/>
      </w:rPr>
    </w:lvl>
  </w:abstractNum>
  <w:abstractNum w:abstractNumId="30" w15:restartNumberingAfterBreak="0">
    <w:nsid w:val="4C9C3719"/>
    <w:multiLevelType w:val="hybridMultilevel"/>
    <w:tmpl w:val="F4F04D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0DC4F63"/>
    <w:multiLevelType w:val="hybridMultilevel"/>
    <w:tmpl w:val="9762F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6F65B4"/>
    <w:multiLevelType w:val="hybridMultilevel"/>
    <w:tmpl w:val="DC5653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58401C5"/>
    <w:multiLevelType w:val="hybridMultilevel"/>
    <w:tmpl w:val="48D6C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316961"/>
    <w:multiLevelType w:val="hybridMultilevel"/>
    <w:tmpl w:val="1596979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5" w15:restartNumberingAfterBreak="0">
    <w:nsid w:val="5B1FED37"/>
    <w:multiLevelType w:val="hybridMultilevel"/>
    <w:tmpl w:val="30ACC6D0"/>
    <w:lvl w:ilvl="0" w:tplc="ADDEB1A0">
      <w:start w:val="1"/>
      <w:numFmt w:val="bullet"/>
      <w:lvlText w:val=""/>
      <w:lvlJc w:val="left"/>
      <w:pPr>
        <w:ind w:left="720" w:hanging="360"/>
      </w:pPr>
      <w:rPr>
        <w:rFonts w:ascii="Symbol" w:hAnsi="Symbol" w:hint="default"/>
      </w:rPr>
    </w:lvl>
    <w:lvl w:ilvl="1" w:tplc="E2D49CB6">
      <w:start w:val="1"/>
      <w:numFmt w:val="bullet"/>
      <w:lvlText w:val="o"/>
      <w:lvlJc w:val="left"/>
      <w:pPr>
        <w:ind w:left="1440" w:hanging="360"/>
      </w:pPr>
      <w:rPr>
        <w:rFonts w:ascii="Courier New" w:hAnsi="Courier New" w:hint="default"/>
      </w:rPr>
    </w:lvl>
    <w:lvl w:ilvl="2" w:tplc="57AA9184">
      <w:start w:val="1"/>
      <w:numFmt w:val="bullet"/>
      <w:lvlText w:val=""/>
      <w:lvlJc w:val="left"/>
      <w:pPr>
        <w:ind w:left="2160" w:hanging="360"/>
      </w:pPr>
      <w:rPr>
        <w:rFonts w:ascii="Wingdings" w:hAnsi="Wingdings" w:hint="default"/>
      </w:rPr>
    </w:lvl>
    <w:lvl w:ilvl="3" w:tplc="0F14C226">
      <w:start w:val="1"/>
      <w:numFmt w:val="bullet"/>
      <w:lvlText w:val=""/>
      <w:lvlJc w:val="left"/>
      <w:pPr>
        <w:ind w:left="2880" w:hanging="360"/>
      </w:pPr>
      <w:rPr>
        <w:rFonts w:ascii="Symbol" w:hAnsi="Symbol" w:hint="default"/>
      </w:rPr>
    </w:lvl>
    <w:lvl w:ilvl="4" w:tplc="B76C55AC">
      <w:start w:val="1"/>
      <w:numFmt w:val="bullet"/>
      <w:lvlText w:val="o"/>
      <w:lvlJc w:val="left"/>
      <w:pPr>
        <w:ind w:left="3600" w:hanging="360"/>
      </w:pPr>
      <w:rPr>
        <w:rFonts w:ascii="Courier New" w:hAnsi="Courier New" w:hint="default"/>
      </w:rPr>
    </w:lvl>
    <w:lvl w:ilvl="5" w:tplc="28A81746">
      <w:start w:val="1"/>
      <w:numFmt w:val="bullet"/>
      <w:lvlText w:val=""/>
      <w:lvlJc w:val="left"/>
      <w:pPr>
        <w:ind w:left="4320" w:hanging="360"/>
      </w:pPr>
      <w:rPr>
        <w:rFonts w:ascii="Wingdings" w:hAnsi="Wingdings" w:hint="default"/>
      </w:rPr>
    </w:lvl>
    <w:lvl w:ilvl="6" w:tplc="5D9CB308">
      <w:start w:val="1"/>
      <w:numFmt w:val="bullet"/>
      <w:lvlText w:val=""/>
      <w:lvlJc w:val="left"/>
      <w:pPr>
        <w:ind w:left="5040" w:hanging="360"/>
      </w:pPr>
      <w:rPr>
        <w:rFonts w:ascii="Symbol" w:hAnsi="Symbol" w:hint="default"/>
      </w:rPr>
    </w:lvl>
    <w:lvl w:ilvl="7" w:tplc="E06AC766">
      <w:start w:val="1"/>
      <w:numFmt w:val="bullet"/>
      <w:lvlText w:val="o"/>
      <w:lvlJc w:val="left"/>
      <w:pPr>
        <w:ind w:left="5760" w:hanging="360"/>
      </w:pPr>
      <w:rPr>
        <w:rFonts w:ascii="Courier New" w:hAnsi="Courier New" w:hint="default"/>
      </w:rPr>
    </w:lvl>
    <w:lvl w:ilvl="8" w:tplc="27BCB17E">
      <w:start w:val="1"/>
      <w:numFmt w:val="bullet"/>
      <w:lvlText w:val=""/>
      <w:lvlJc w:val="left"/>
      <w:pPr>
        <w:ind w:left="6480" w:hanging="360"/>
      </w:pPr>
      <w:rPr>
        <w:rFonts w:ascii="Wingdings" w:hAnsi="Wingdings" w:hint="default"/>
      </w:rPr>
    </w:lvl>
  </w:abstractNum>
  <w:abstractNum w:abstractNumId="36" w15:restartNumberingAfterBreak="0">
    <w:nsid w:val="60A56E24"/>
    <w:multiLevelType w:val="hybridMultilevel"/>
    <w:tmpl w:val="4D201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AC79E1"/>
    <w:multiLevelType w:val="hybridMultilevel"/>
    <w:tmpl w:val="049419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2594D46"/>
    <w:multiLevelType w:val="hybridMultilevel"/>
    <w:tmpl w:val="9228B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900A04"/>
    <w:multiLevelType w:val="hybridMultilevel"/>
    <w:tmpl w:val="E4005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566A42"/>
    <w:multiLevelType w:val="hybridMultilevel"/>
    <w:tmpl w:val="C1AEA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5B3496"/>
    <w:multiLevelType w:val="hybridMultilevel"/>
    <w:tmpl w:val="890E7B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BFE48BD"/>
    <w:multiLevelType w:val="hybridMultilevel"/>
    <w:tmpl w:val="6EF8C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D90667"/>
    <w:multiLevelType w:val="hybridMultilevel"/>
    <w:tmpl w:val="A14664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3F30C88"/>
    <w:multiLevelType w:val="hybridMultilevel"/>
    <w:tmpl w:val="DE96DC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58967DD"/>
    <w:multiLevelType w:val="hybridMultilevel"/>
    <w:tmpl w:val="99723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D379B8"/>
    <w:multiLevelType w:val="hybridMultilevel"/>
    <w:tmpl w:val="C29423F0"/>
    <w:lvl w:ilvl="0" w:tplc="23BA0E8E">
      <w:start w:val="1"/>
      <w:numFmt w:val="bullet"/>
      <w:lvlText w:val=""/>
      <w:lvlJc w:val="left"/>
      <w:pPr>
        <w:ind w:left="720" w:hanging="360"/>
      </w:pPr>
      <w:rPr>
        <w:rFonts w:ascii="Symbol" w:hAnsi="Symbol" w:hint="default"/>
      </w:rPr>
    </w:lvl>
    <w:lvl w:ilvl="1" w:tplc="AA9A8AEA">
      <w:start w:val="1"/>
      <w:numFmt w:val="bullet"/>
      <w:lvlText w:val="o"/>
      <w:lvlJc w:val="left"/>
      <w:pPr>
        <w:ind w:left="1440" w:hanging="360"/>
      </w:pPr>
      <w:rPr>
        <w:rFonts w:ascii="Courier New" w:hAnsi="Courier New" w:hint="default"/>
      </w:rPr>
    </w:lvl>
    <w:lvl w:ilvl="2" w:tplc="D5A0F974">
      <w:start w:val="1"/>
      <w:numFmt w:val="bullet"/>
      <w:lvlText w:val=""/>
      <w:lvlJc w:val="left"/>
      <w:pPr>
        <w:ind w:left="2160" w:hanging="360"/>
      </w:pPr>
      <w:rPr>
        <w:rFonts w:ascii="Wingdings" w:hAnsi="Wingdings" w:hint="default"/>
      </w:rPr>
    </w:lvl>
    <w:lvl w:ilvl="3" w:tplc="A25063EC">
      <w:start w:val="1"/>
      <w:numFmt w:val="bullet"/>
      <w:lvlText w:val=""/>
      <w:lvlJc w:val="left"/>
      <w:pPr>
        <w:ind w:left="2880" w:hanging="360"/>
      </w:pPr>
      <w:rPr>
        <w:rFonts w:ascii="Symbol" w:hAnsi="Symbol" w:hint="default"/>
      </w:rPr>
    </w:lvl>
    <w:lvl w:ilvl="4" w:tplc="ACF4C2A6">
      <w:start w:val="1"/>
      <w:numFmt w:val="bullet"/>
      <w:lvlText w:val="o"/>
      <w:lvlJc w:val="left"/>
      <w:pPr>
        <w:ind w:left="3600" w:hanging="360"/>
      </w:pPr>
      <w:rPr>
        <w:rFonts w:ascii="Courier New" w:hAnsi="Courier New" w:hint="default"/>
      </w:rPr>
    </w:lvl>
    <w:lvl w:ilvl="5" w:tplc="D86EB01A">
      <w:start w:val="1"/>
      <w:numFmt w:val="bullet"/>
      <w:lvlText w:val=""/>
      <w:lvlJc w:val="left"/>
      <w:pPr>
        <w:ind w:left="4320" w:hanging="360"/>
      </w:pPr>
      <w:rPr>
        <w:rFonts w:ascii="Wingdings" w:hAnsi="Wingdings" w:hint="default"/>
      </w:rPr>
    </w:lvl>
    <w:lvl w:ilvl="6" w:tplc="59EE57F2">
      <w:start w:val="1"/>
      <w:numFmt w:val="bullet"/>
      <w:lvlText w:val=""/>
      <w:lvlJc w:val="left"/>
      <w:pPr>
        <w:ind w:left="5040" w:hanging="360"/>
      </w:pPr>
      <w:rPr>
        <w:rFonts w:ascii="Symbol" w:hAnsi="Symbol" w:hint="default"/>
      </w:rPr>
    </w:lvl>
    <w:lvl w:ilvl="7" w:tplc="5C3CC894">
      <w:start w:val="1"/>
      <w:numFmt w:val="bullet"/>
      <w:lvlText w:val="o"/>
      <w:lvlJc w:val="left"/>
      <w:pPr>
        <w:ind w:left="5760" w:hanging="360"/>
      </w:pPr>
      <w:rPr>
        <w:rFonts w:ascii="Courier New" w:hAnsi="Courier New" w:hint="default"/>
      </w:rPr>
    </w:lvl>
    <w:lvl w:ilvl="8" w:tplc="6DA23EAE">
      <w:start w:val="1"/>
      <w:numFmt w:val="bullet"/>
      <w:lvlText w:val=""/>
      <w:lvlJc w:val="left"/>
      <w:pPr>
        <w:ind w:left="6480" w:hanging="360"/>
      </w:pPr>
      <w:rPr>
        <w:rFonts w:ascii="Wingdings" w:hAnsi="Wingdings" w:hint="default"/>
      </w:rPr>
    </w:lvl>
  </w:abstractNum>
  <w:num w:numId="1" w16cid:durableId="199392767">
    <w:abstractNumId w:val="46"/>
  </w:num>
  <w:num w:numId="2" w16cid:durableId="1249849085">
    <w:abstractNumId w:val="13"/>
  </w:num>
  <w:num w:numId="3" w16cid:durableId="932475323">
    <w:abstractNumId w:val="33"/>
  </w:num>
  <w:num w:numId="4" w16cid:durableId="1109855961">
    <w:abstractNumId w:val="37"/>
  </w:num>
  <w:num w:numId="5" w16cid:durableId="969823250">
    <w:abstractNumId w:val="10"/>
  </w:num>
  <w:num w:numId="6" w16cid:durableId="30617363">
    <w:abstractNumId w:val="21"/>
  </w:num>
  <w:num w:numId="7" w16cid:durableId="122311023">
    <w:abstractNumId w:val="32"/>
  </w:num>
  <w:num w:numId="8" w16cid:durableId="1239483236">
    <w:abstractNumId w:val="30"/>
  </w:num>
  <w:num w:numId="9" w16cid:durableId="116870892">
    <w:abstractNumId w:val="45"/>
  </w:num>
  <w:num w:numId="10" w16cid:durableId="1867479387">
    <w:abstractNumId w:val="28"/>
  </w:num>
  <w:num w:numId="11" w16cid:durableId="714546843">
    <w:abstractNumId w:val="34"/>
  </w:num>
  <w:num w:numId="12" w16cid:durableId="1124084145">
    <w:abstractNumId w:val="17"/>
  </w:num>
  <w:num w:numId="13" w16cid:durableId="1286035128">
    <w:abstractNumId w:val="12"/>
  </w:num>
  <w:num w:numId="14" w16cid:durableId="2106416780">
    <w:abstractNumId w:val="44"/>
  </w:num>
  <w:num w:numId="15" w16cid:durableId="1414356090">
    <w:abstractNumId w:val="43"/>
  </w:num>
  <w:num w:numId="16" w16cid:durableId="934827144">
    <w:abstractNumId w:val="14"/>
  </w:num>
  <w:num w:numId="17" w16cid:durableId="51390615">
    <w:abstractNumId w:val="31"/>
  </w:num>
  <w:num w:numId="18" w16cid:durableId="595669734">
    <w:abstractNumId w:val="42"/>
  </w:num>
  <w:num w:numId="19" w16cid:durableId="1890458896">
    <w:abstractNumId w:val="25"/>
  </w:num>
  <w:num w:numId="20" w16cid:durableId="332804790">
    <w:abstractNumId w:val="18"/>
  </w:num>
  <w:num w:numId="21" w16cid:durableId="430053339">
    <w:abstractNumId w:val="36"/>
  </w:num>
  <w:num w:numId="22" w16cid:durableId="1376077834">
    <w:abstractNumId w:val="35"/>
  </w:num>
  <w:num w:numId="23" w16cid:durableId="15819">
    <w:abstractNumId w:val="23"/>
  </w:num>
  <w:num w:numId="24" w16cid:durableId="1709375708">
    <w:abstractNumId w:val="22"/>
  </w:num>
  <w:num w:numId="25" w16cid:durableId="1628468317">
    <w:abstractNumId w:val="29"/>
  </w:num>
  <w:num w:numId="26" w16cid:durableId="728190330">
    <w:abstractNumId w:val="24"/>
  </w:num>
  <w:num w:numId="27" w16cid:durableId="1233854935">
    <w:abstractNumId w:val="20"/>
  </w:num>
  <w:num w:numId="28" w16cid:durableId="1575123031">
    <w:abstractNumId w:val="40"/>
  </w:num>
  <w:num w:numId="29" w16cid:durableId="1629899247">
    <w:abstractNumId w:val="19"/>
  </w:num>
  <w:num w:numId="30" w16cid:durableId="1121608038">
    <w:abstractNumId w:val="38"/>
  </w:num>
  <w:num w:numId="31" w16cid:durableId="876354555">
    <w:abstractNumId w:val="16"/>
  </w:num>
  <w:num w:numId="32" w16cid:durableId="680552152">
    <w:abstractNumId w:val="26"/>
  </w:num>
  <w:num w:numId="33" w16cid:durableId="63457227">
    <w:abstractNumId w:val="41"/>
  </w:num>
  <w:num w:numId="34" w16cid:durableId="1339651947">
    <w:abstractNumId w:val="11"/>
  </w:num>
  <w:num w:numId="35" w16cid:durableId="2081974985">
    <w:abstractNumId w:val="39"/>
  </w:num>
  <w:num w:numId="36" w16cid:durableId="1034959949">
    <w:abstractNumId w:val="27"/>
  </w:num>
  <w:num w:numId="37" w16cid:durableId="1137796229">
    <w:abstractNumId w:val="9"/>
  </w:num>
  <w:num w:numId="38" w16cid:durableId="961426985">
    <w:abstractNumId w:val="7"/>
  </w:num>
  <w:num w:numId="39" w16cid:durableId="2142845897">
    <w:abstractNumId w:val="6"/>
  </w:num>
  <w:num w:numId="40" w16cid:durableId="1199972265">
    <w:abstractNumId w:val="5"/>
  </w:num>
  <w:num w:numId="41" w16cid:durableId="1799182867">
    <w:abstractNumId w:val="4"/>
  </w:num>
  <w:num w:numId="42" w16cid:durableId="1950121017">
    <w:abstractNumId w:val="8"/>
  </w:num>
  <w:num w:numId="43" w16cid:durableId="1327123528">
    <w:abstractNumId w:val="3"/>
  </w:num>
  <w:num w:numId="44" w16cid:durableId="1043363182">
    <w:abstractNumId w:val="2"/>
  </w:num>
  <w:num w:numId="45" w16cid:durableId="881551107">
    <w:abstractNumId w:val="1"/>
  </w:num>
  <w:num w:numId="46" w16cid:durableId="857234309">
    <w:abstractNumId w:val="0"/>
  </w:num>
  <w:num w:numId="47" w16cid:durableId="59443825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nny Weir">
    <w15:presenceInfo w15:providerId="AD" w15:userId="S::gweir@qualityhealth.org::a2051bbb-efc1-45aa-87be-11d00139f798"/>
  </w15:person>
  <w15:person w15:author="Beth Bojkov">
    <w15:presenceInfo w15:providerId="AD" w15:userId="S::ebojkov@qualityhealth.org::6ebdf489-8751-49a4-bcfc-8b396765f0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B2AAB46"/>
    <w:rsid w:val="00001380"/>
    <w:rsid w:val="00004550"/>
    <w:rsid w:val="000056B6"/>
    <w:rsid w:val="00006832"/>
    <w:rsid w:val="000104D0"/>
    <w:rsid w:val="00014B3D"/>
    <w:rsid w:val="00015EF2"/>
    <w:rsid w:val="000277FD"/>
    <w:rsid w:val="000315B7"/>
    <w:rsid w:val="0003613B"/>
    <w:rsid w:val="00036976"/>
    <w:rsid w:val="000421DD"/>
    <w:rsid w:val="000501B4"/>
    <w:rsid w:val="00050B1D"/>
    <w:rsid w:val="00052E3D"/>
    <w:rsid w:val="0005606B"/>
    <w:rsid w:val="00056507"/>
    <w:rsid w:val="000602F6"/>
    <w:rsid w:val="00061661"/>
    <w:rsid w:val="00062859"/>
    <w:rsid w:val="00065CF6"/>
    <w:rsid w:val="00066CCB"/>
    <w:rsid w:val="000672F6"/>
    <w:rsid w:val="0006764E"/>
    <w:rsid w:val="0007252E"/>
    <w:rsid w:val="00072908"/>
    <w:rsid w:val="000828E4"/>
    <w:rsid w:val="000864BA"/>
    <w:rsid w:val="00092223"/>
    <w:rsid w:val="00094768"/>
    <w:rsid w:val="000A1E30"/>
    <w:rsid w:val="000A2AEB"/>
    <w:rsid w:val="000A4352"/>
    <w:rsid w:val="000A4A52"/>
    <w:rsid w:val="000A616C"/>
    <w:rsid w:val="000A769F"/>
    <w:rsid w:val="000B0635"/>
    <w:rsid w:val="000B1919"/>
    <w:rsid w:val="000B1AAB"/>
    <w:rsid w:val="000B2702"/>
    <w:rsid w:val="000B439F"/>
    <w:rsid w:val="000B4FB5"/>
    <w:rsid w:val="000B7393"/>
    <w:rsid w:val="000C2D0A"/>
    <w:rsid w:val="000C2D3C"/>
    <w:rsid w:val="000C477F"/>
    <w:rsid w:val="000C608D"/>
    <w:rsid w:val="000D07EB"/>
    <w:rsid w:val="000D1BBA"/>
    <w:rsid w:val="000D64E5"/>
    <w:rsid w:val="000D7045"/>
    <w:rsid w:val="000D7A8C"/>
    <w:rsid w:val="000D7DD6"/>
    <w:rsid w:val="000E2C69"/>
    <w:rsid w:val="000E4F92"/>
    <w:rsid w:val="000F0DCE"/>
    <w:rsid w:val="000F1F74"/>
    <w:rsid w:val="000F236A"/>
    <w:rsid w:val="000F270C"/>
    <w:rsid w:val="000F3D57"/>
    <w:rsid w:val="000F69E8"/>
    <w:rsid w:val="001109A8"/>
    <w:rsid w:val="00112BB7"/>
    <w:rsid w:val="00113B30"/>
    <w:rsid w:val="00113E27"/>
    <w:rsid w:val="00121973"/>
    <w:rsid w:val="00127291"/>
    <w:rsid w:val="001333D2"/>
    <w:rsid w:val="001336C8"/>
    <w:rsid w:val="00133A09"/>
    <w:rsid w:val="00141FED"/>
    <w:rsid w:val="00145896"/>
    <w:rsid w:val="001529FC"/>
    <w:rsid w:val="00153956"/>
    <w:rsid w:val="00160509"/>
    <w:rsid w:val="00160D20"/>
    <w:rsid w:val="00161583"/>
    <w:rsid w:val="00161AD8"/>
    <w:rsid w:val="00163C12"/>
    <w:rsid w:val="00164FFE"/>
    <w:rsid w:val="001742BC"/>
    <w:rsid w:val="0017434E"/>
    <w:rsid w:val="001812D2"/>
    <w:rsid w:val="00181A18"/>
    <w:rsid w:val="00184CE4"/>
    <w:rsid w:val="001863E4"/>
    <w:rsid w:val="001913BE"/>
    <w:rsid w:val="00194F74"/>
    <w:rsid w:val="0019524B"/>
    <w:rsid w:val="0019661B"/>
    <w:rsid w:val="001A2381"/>
    <w:rsid w:val="001A3A30"/>
    <w:rsid w:val="001A3A79"/>
    <w:rsid w:val="001A4DCE"/>
    <w:rsid w:val="001B3DD7"/>
    <w:rsid w:val="001B4469"/>
    <w:rsid w:val="001B5D14"/>
    <w:rsid w:val="001C08CB"/>
    <w:rsid w:val="001C3BA5"/>
    <w:rsid w:val="001C534F"/>
    <w:rsid w:val="001C61CC"/>
    <w:rsid w:val="001D09A9"/>
    <w:rsid w:val="001D2A01"/>
    <w:rsid w:val="001D5FDF"/>
    <w:rsid w:val="001E4848"/>
    <w:rsid w:val="001E4DDF"/>
    <w:rsid w:val="001E5BEF"/>
    <w:rsid w:val="001F17CD"/>
    <w:rsid w:val="001F2495"/>
    <w:rsid w:val="001F2BC2"/>
    <w:rsid w:val="001F3A44"/>
    <w:rsid w:val="001F621A"/>
    <w:rsid w:val="001F6B3E"/>
    <w:rsid w:val="001F7560"/>
    <w:rsid w:val="00201BBF"/>
    <w:rsid w:val="0020368F"/>
    <w:rsid w:val="00203DB4"/>
    <w:rsid w:val="00204063"/>
    <w:rsid w:val="00204D90"/>
    <w:rsid w:val="00205158"/>
    <w:rsid w:val="00212339"/>
    <w:rsid w:val="002135EA"/>
    <w:rsid w:val="002145E6"/>
    <w:rsid w:val="00214D70"/>
    <w:rsid w:val="00220E4E"/>
    <w:rsid w:val="002268B8"/>
    <w:rsid w:val="002309B1"/>
    <w:rsid w:val="00230F13"/>
    <w:rsid w:val="0023314B"/>
    <w:rsid w:val="00234889"/>
    <w:rsid w:val="00242E82"/>
    <w:rsid w:val="00244750"/>
    <w:rsid w:val="00244961"/>
    <w:rsid w:val="002462EE"/>
    <w:rsid w:val="00251D97"/>
    <w:rsid w:val="0025756A"/>
    <w:rsid w:val="002576A5"/>
    <w:rsid w:val="002610E2"/>
    <w:rsid w:val="00267577"/>
    <w:rsid w:val="0027110E"/>
    <w:rsid w:val="00271E84"/>
    <w:rsid w:val="00274089"/>
    <w:rsid w:val="0027421E"/>
    <w:rsid w:val="00275858"/>
    <w:rsid w:val="00276EA7"/>
    <w:rsid w:val="00282B25"/>
    <w:rsid w:val="0028388E"/>
    <w:rsid w:val="00287A92"/>
    <w:rsid w:val="002905F1"/>
    <w:rsid w:val="0029275B"/>
    <w:rsid w:val="00293E9D"/>
    <w:rsid w:val="00295366"/>
    <w:rsid w:val="00296A7F"/>
    <w:rsid w:val="00296FE6"/>
    <w:rsid w:val="00297BA0"/>
    <w:rsid w:val="002A0544"/>
    <w:rsid w:val="002A2FFD"/>
    <w:rsid w:val="002A5A96"/>
    <w:rsid w:val="002A7823"/>
    <w:rsid w:val="002C02AE"/>
    <w:rsid w:val="002C1A01"/>
    <w:rsid w:val="002C20D0"/>
    <w:rsid w:val="002C2692"/>
    <w:rsid w:val="002C32DC"/>
    <w:rsid w:val="002D1415"/>
    <w:rsid w:val="002D24DA"/>
    <w:rsid w:val="002D30CA"/>
    <w:rsid w:val="002D3D11"/>
    <w:rsid w:val="002D6091"/>
    <w:rsid w:val="002E1AA6"/>
    <w:rsid w:val="002E2D46"/>
    <w:rsid w:val="002E2D4A"/>
    <w:rsid w:val="002E5F1C"/>
    <w:rsid w:val="002E677D"/>
    <w:rsid w:val="002E75A3"/>
    <w:rsid w:val="002F03E6"/>
    <w:rsid w:val="002F0E20"/>
    <w:rsid w:val="002F49DB"/>
    <w:rsid w:val="002F5F00"/>
    <w:rsid w:val="002F6308"/>
    <w:rsid w:val="002F6317"/>
    <w:rsid w:val="002F6944"/>
    <w:rsid w:val="002F73E3"/>
    <w:rsid w:val="002F7A7B"/>
    <w:rsid w:val="00301482"/>
    <w:rsid w:val="00302081"/>
    <w:rsid w:val="00303286"/>
    <w:rsid w:val="00306F8F"/>
    <w:rsid w:val="003102E9"/>
    <w:rsid w:val="003117C3"/>
    <w:rsid w:val="00314834"/>
    <w:rsid w:val="0032456C"/>
    <w:rsid w:val="00331004"/>
    <w:rsid w:val="00334123"/>
    <w:rsid w:val="00342793"/>
    <w:rsid w:val="00342F12"/>
    <w:rsid w:val="00343623"/>
    <w:rsid w:val="00343CD0"/>
    <w:rsid w:val="003440B2"/>
    <w:rsid w:val="0034484F"/>
    <w:rsid w:val="003451AA"/>
    <w:rsid w:val="0035069F"/>
    <w:rsid w:val="003513CE"/>
    <w:rsid w:val="00352FF2"/>
    <w:rsid w:val="003547B8"/>
    <w:rsid w:val="003661D0"/>
    <w:rsid w:val="003663AA"/>
    <w:rsid w:val="00367EBB"/>
    <w:rsid w:val="00370293"/>
    <w:rsid w:val="00370DA7"/>
    <w:rsid w:val="00372234"/>
    <w:rsid w:val="003805F5"/>
    <w:rsid w:val="00384AD4"/>
    <w:rsid w:val="00386D5B"/>
    <w:rsid w:val="00387131"/>
    <w:rsid w:val="00393187"/>
    <w:rsid w:val="0039683E"/>
    <w:rsid w:val="00397527"/>
    <w:rsid w:val="00397668"/>
    <w:rsid w:val="003A0A8E"/>
    <w:rsid w:val="003A0FBE"/>
    <w:rsid w:val="003A3E83"/>
    <w:rsid w:val="003A5353"/>
    <w:rsid w:val="003B0D13"/>
    <w:rsid w:val="003B7FA8"/>
    <w:rsid w:val="003C0632"/>
    <w:rsid w:val="003C16E9"/>
    <w:rsid w:val="003C2706"/>
    <w:rsid w:val="003D0EA1"/>
    <w:rsid w:val="003D3180"/>
    <w:rsid w:val="003D3A3F"/>
    <w:rsid w:val="003D6A90"/>
    <w:rsid w:val="003E120A"/>
    <w:rsid w:val="003E5D34"/>
    <w:rsid w:val="003E61B4"/>
    <w:rsid w:val="003E69BA"/>
    <w:rsid w:val="003E6CD9"/>
    <w:rsid w:val="003F0CC7"/>
    <w:rsid w:val="003F1276"/>
    <w:rsid w:val="003F4071"/>
    <w:rsid w:val="003F4A07"/>
    <w:rsid w:val="003F567D"/>
    <w:rsid w:val="003F7276"/>
    <w:rsid w:val="00400B3E"/>
    <w:rsid w:val="004019DC"/>
    <w:rsid w:val="00405ADA"/>
    <w:rsid w:val="00406A29"/>
    <w:rsid w:val="00407F77"/>
    <w:rsid w:val="00410846"/>
    <w:rsid w:val="00410A99"/>
    <w:rsid w:val="00411CC4"/>
    <w:rsid w:val="00414761"/>
    <w:rsid w:val="00415A78"/>
    <w:rsid w:val="00416D95"/>
    <w:rsid w:val="0042308C"/>
    <w:rsid w:val="00423349"/>
    <w:rsid w:val="00426230"/>
    <w:rsid w:val="00430E98"/>
    <w:rsid w:val="00432A0F"/>
    <w:rsid w:val="0043746B"/>
    <w:rsid w:val="00446742"/>
    <w:rsid w:val="00446974"/>
    <w:rsid w:val="00446DCC"/>
    <w:rsid w:val="00451F2C"/>
    <w:rsid w:val="00452FF8"/>
    <w:rsid w:val="0045337C"/>
    <w:rsid w:val="00457F0A"/>
    <w:rsid w:val="00463F24"/>
    <w:rsid w:val="004713DF"/>
    <w:rsid w:val="00471B9F"/>
    <w:rsid w:val="00471F2A"/>
    <w:rsid w:val="00474EBB"/>
    <w:rsid w:val="00476979"/>
    <w:rsid w:val="004804D4"/>
    <w:rsid w:val="00482250"/>
    <w:rsid w:val="00482EBE"/>
    <w:rsid w:val="004853DF"/>
    <w:rsid w:val="0048778A"/>
    <w:rsid w:val="0049148F"/>
    <w:rsid w:val="00491C6C"/>
    <w:rsid w:val="0049320E"/>
    <w:rsid w:val="004A064A"/>
    <w:rsid w:val="004A06D9"/>
    <w:rsid w:val="004A5D4E"/>
    <w:rsid w:val="004A7B7B"/>
    <w:rsid w:val="004B0872"/>
    <w:rsid w:val="004B131D"/>
    <w:rsid w:val="004B2282"/>
    <w:rsid w:val="004B2A1B"/>
    <w:rsid w:val="004C095F"/>
    <w:rsid w:val="004C2070"/>
    <w:rsid w:val="004C22C0"/>
    <w:rsid w:val="004C393F"/>
    <w:rsid w:val="004C4982"/>
    <w:rsid w:val="004C7538"/>
    <w:rsid w:val="004D5EA6"/>
    <w:rsid w:val="004E0C82"/>
    <w:rsid w:val="004E3D75"/>
    <w:rsid w:val="004E43EB"/>
    <w:rsid w:val="004E4C71"/>
    <w:rsid w:val="004E5489"/>
    <w:rsid w:val="004E77E3"/>
    <w:rsid w:val="004F0101"/>
    <w:rsid w:val="004F17D1"/>
    <w:rsid w:val="004F453E"/>
    <w:rsid w:val="004F554D"/>
    <w:rsid w:val="004F6DFA"/>
    <w:rsid w:val="005021B2"/>
    <w:rsid w:val="00503D26"/>
    <w:rsid w:val="00515757"/>
    <w:rsid w:val="005210E3"/>
    <w:rsid w:val="0052269B"/>
    <w:rsid w:val="00526502"/>
    <w:rsid w:val="00526EB1"/>
    <w:rsid w:val="00527771"/>
    <w:rsid w:val="0052778B"/>
    <w:rsid w:val="00527F2E"/>
    <w:rsid w:val="00533162"/>
    <w:rsid w:val="0055011B"/>
    <w:rsid w:val="005506A3"/>
    <w:rsid w:val="0055152D"/>
    <w:rsid w:val="00551630"/>
    <w:rsid w:val="0055448A"/>
    <w:rsid w:val="00554867"/>
    <w:rsid w:val="00557153"/>
    <w:rsid w:val="00557C53"/>
    <w:rsid w:val="00560497"/>
    <w:rsid w:val="0056198B"/>
    <w:rsid w:val="00562F1C"/>
    <w:rsid w:val="00565BAC"/>
    <w:rsid w:val="00566309"/>
    <w:rsid w:val="005720E7"/>
    <w:rsid w:val="0057309E"/>
    <w:rsid w:val="005750D7"/>
    <w:rsid w:val="00575BC8"/>
    <w:rsid w:val="005778E4"/>
    <w:rsid w:val="00577AAE"/>
    <w:rsid w:val="00577FFD"/>
    <w:rsid w:val="0058068D"/>
    <w:rsid w:val="005822EA"/>
    <w:rsid w:val="005829F0"/>
    <w:rsid w:val="005831AF"/>
    <w:rsid w:val="00583CD3"/>
    <w:rsid w:val="00586124"/>
    <w:rsid w:val="00586224"/>
    <w:rsid w:val="00590215"/>
    <w:rsid w:val="00590AA1"/>
    <w:rsid w:val="00593E7B"/>
    <w:rsid w:val="00594707"/>
    <w:rsid w:val="00595AE5"/>
    <w:rsid w:val="00596382"/>
    <w:rsid w:val="005A00E8"/>
    <w:rsid w:val="005A43FB"/>
    <w:rsid w:val="005A7E1C"/>
    <w:rsid w:val="005B0912"/>
    <w:rsid w:val="005B469B"/>
    <w:rsid w:val="005B58C9"/>
    <w:rsid w:val="005B7B59"/>
    <w:rsid w:val="005C278C"/>
    <w:rsid w:val="005C2969"/>
    <w:rsid w:val="005C426E"/>
    <w:rsid w:val="005D1F2D"/>
    <w:rsid w:val="005D4CCA"/>
    <w:rsid w:val="005D7E2A"/>
    <w:rsid w:val="005E17C5"/>
    <w:rsid w:val="005E6ECF"/>
    <w:rsid w:val="005F1350"/>
    <w:rsid w:val="005F373A"/>
    <w:rsid w:val="005F3837"/>
    <w:rsid w:val="005F5A61"/>
    <w:rsid w:val="00600A16"/>
    <w:rsid w:val="0060148C"/>
    <w:rsid w:val="0060266A"/>
    <w:rsid w:val="00602698"/>
    <w:rsid w:val="006047EA"/>
    <w:rsid w:val="0060717A"/>
    <w:rsid w:val="00607F43"/>
    <w:rsid w:val="00611313"/>
    <w:rsid w:val="006115F5"/>
    <w:rsid w:val="00611A5D"/>
    <w:rsid w:val="0061573B"/>
    <w:rsid w:val="006157D7"/>
    <w:rsid w:val="0061739C"/>
    <w:rsid w:val="00620D1D"/>
    <w:rsid w:val="00621D7B"/>
    <w:rsid w:val="00623C71"/>
    <w:rsid w:val="00625C6F"/>
    <w:rsid w:val="006273E7"/>
    <w:rsid w:val="006305EE"/>
    <w:rsid w:val="00630C81"/>
    <w:rsid w:val="00634F87"/>
    <w:rsid w:val="006367D8"/>
    <w:rsid w:val="006375F5"/>
    <w:rsid w:val="0063781A"/>
    <w:rsid w:val="006402CD"/>
    <w:rsid w:val="00640ACF"/>
    <w:rsid w:val="0064493C"/>
    <w:rsid w:val="00646646"/>
    <w:rsid w:val="00650C74"/>
    <w:rsid w:val="00653E09"/>
    <w:rsid w:val="006606B7"/>
    <w:rsid w:val="00662431"/>
    <w:rsid w:val="006632FA"/>
    <w:rsid w:val="00665055"/>
    <w:rsid w:val="00666DF1"/>
    <w:rsid w:val="00667F6C"/>
    <w:rsid w:val="00671EF4"/>
    <w:rsid w:val="0067530C"/>
    <w:rsid w:val="00677D58"/>
    <w:rsid w:val="00680315"/>
    <w:rsid w:val="00681B11"/>
    <w:rsid w:val="00684C71"/>
    <w:rsid w:val="00691F7A"/>
    <w:rsid w:val="00693B66"/>
    <w:rsid w:val="00697028"/>
    <w:rsid w:val="006A0BD4"/>
    <w:rsid w:val="006A1CAF"/>
    <w:rsid w:val="006A316B"/>
    <w:rsid w:val="006A3EA9"/>
    <w:rsid w:val="006B27C5"/>
    <w:rsid w:val="006B352B"/>
    <w:rsid w:val="006B402C"/>
    <w:rsid w:val="006B478C"/>
    <w:rsid w:val="006B7764"/>
    <w:rsid w:val="006C0285"/>
    <w:rsid w:val="006C21DA"/>
    <w:rsid w:val="006C2E2D"/>
    <w:rsid w:val="006D3C29"/>
    <w:rsid w:val="006D3C7D"/>
    <w:rsid w:val="006D3F67"/>
    <w:rsid w:val="006D6796"/>
    <w:rsid w:val="006D6D56"/>
    <w:rsid w:val="006D7E0E"/>
    <w:rsid w:val="006E1C20"/>
    <w:rsid w:val="006E2F74"/>
    <w:rsid w:val="006F0834"/>
    <w:rsid w:val="006F171D"/>
    <w:rsid w:val="006F20D5"/>
    <w:rsid w:val="006F2129"/>
    <w:rsid w:val="006F21FC"/>
    <w:rsid w:val="006F2385"/>
    <w:rsid w:val="006F254E"/>
    <w:rsid w:val="006F4B13"/>
    <w:rsid w:val="006F547E"/>
    <w:rsid w:val="007032F0"/>
    <w:rsid w:val="00704B4E"/>
    <w:rsid w:val="00705B5F"/>
    <w:rsid w:val="00711293"/>
    <w:rsid w:val="007143FF"/>
    <w:rsid w:val="00714E00"/>
    <w:rsid w:val="0071688F"/>
    <w:rsid w:val="00717985"/>
    <w:rsid w:val="007232F6"/>
    <w:rsid w:val="00724313"/>
    <w:rsid w:val="00726F6E"/>
    <w:rsid w:val="00727E2A"/>
    <w:rsid w:val="00731C5F"/>
    <w:rsid w:val="00732584"/>
    <w:rsid w:val="0073271D"/>
    <w:rsid w:val="00734484"/>
    <w:rsid w:val="007360DE"/>
    <w:rsid w:val="007365EF"/>
    <w:rsid w:val="00736B73"/>
    <w:rsid w:val="00737ECE"/>
    <w:rsid w:val="00741EF7"/>
    <w:rsid w:val="00741FF2"/>
    <w:rsid w:val="00742E54"/>
    <w:rsid w:val="00744A08"/>
    <w:rsid w:val="0075130D"/>
    <w:rsid w:val="00751C87"/>
    <w:rsid w:val="00752F91"/>
    <w:rsid w:val="00762832"/>
    <w:rsid w:val="00764A50"/>
    <w:rsid w:val="007662E6"/>
    <w:rsid w:val="00766EDF"/>
    <w:rsid w:val="007677F9"/>
    <w:rsid w:val="00773C4D"/>
    <w:rsid w:val="00773E19"/>
    <w:rsid w:val="00773EC6"/>
    <w:rsid w:val="007770B6"/>
    <w:rsid w:val="0078174C"/>
    <w:rsid w:val="00784582"/>
    <w:rsid w:val="0078577D"/>
    <w:rsid w:val="007941CF"/>
    <w:rsid w:val="0079738F"/>
    <w:rsid w:val="007A29DF"/>
    <w:rsid w:val="007A4A3F"/>
    <w:rsid w:val="007A6907"/>
    <w:rsid w:val="007B68B4"/>
    <w:rsid w:val="007C1E13"/>
    <w:rsid w:val="007C277B"/>
    <w:rsid w:val="007C2B46"/>
    <w:rsid w:val="007C339E"/>
    <w:rsid w:val="007C3766"/>
    <w:rsid w:val="007C3CA5"/>
    <w:rsid w:val="007C4469"/>
    <w:rsid w:val="007D139F"/>
    <w:rsid w:val="007D3806"/>
    <w:rsid w:val="007D5418"/>
    <w:rsid w:val="007D5FBA"/>
    <w:rsid w:val="007D6F1C"/>
    <w:rsid w:val="007E097E"/>
    <w:rsid w:val="007E4886"/>
    <w:rsid w:val="007E5D18"/>
    <w:rsid w:val="007F19FA"/>
    <w:rsid w:val="007F2DC2"/>
    <w:rsid w:val="007F3707"/>
    <w:rsid w:val="007F4D9C"/>
    <w:rsid w:val="007F5D82"/>
    <w:rsid w:val="007F68CF"/>
    <w:rsid w:val="0080018E"/>
    <w:rsid w:val="0080048B"/>
    <w:rsid w:val="00802B59"/>
    <w:rsid w:val="00802CF2"/>
    <w:rsid w:val="00804E35"/>
    <w:rsid w:val="008057A0"/>
    <w:rsid w:val="00805CA9"/>
    <w:rsid w:val="008060E2"/>
    <w:rsid w:val="00806347"/>
    <w:rsid w:val="00812A14"/>
    <w:rsid w:val="00814EDB"/>
    <w:rsid w:val="00816204"/>
    <w:rsid w:val="00816DA6"/>
    <w:rsid w:val="00822A0C"/>
    <w:rsid w:val="00822E15"/>
    <w:rsid w:val="00823452"/>
    <w:rsid w:val="00825702"/>
    <w:rsid w:val="00825980"/>
    <w:rsid w:val="00827F81"/>
    <w:rsid w:val="00830B2E"/>
    <w:rsid w:val="00834AFF"/>
    <w:rsid w:val="00837099"/>
    <w:rsid w:val="00837EDB"/>
    <w:rsid w:val="00840271"/>
    <w:rsid w:val="00842DA8"/>
    <w:rsid w:val="00843FD5"/>
    <w:rsid w:val="00847A09"/>
    <w:rsid w:val="00851F52"/>
    <w:rsid w:val="00852C96"/>
    <w:rsid w:val="00855D49"/>
    <w:rsid w:val="008569D1"/>
    <w:rsid w:val="00856ABC"/>
    <w:rsid w:val="00860213"/>
    <w:rsid w:val="0086305C"/>
    <w:rsid w:val="00864385"/>
    <w:rsid w:val="0086455D"/>
    <w:rsid w:val="008651C4"/>
    <w:rsid w:val="00865E7B"/>
    <w:rsid w:val="008675B3"/>
    <w:rsid w:val="008676E8"/>
    <w:rsid w:val="0087283D"/>
    <w:rsid w:val="00882028"/>
    <w:rsid w:val="008832DA"/>
    <w:rsid w:val="00883609"/>
    <w:rsid w:val="008842F5"/>
    <w:rsid w:val="0089322E"/>
    <w:rsid w:val="008A0305"/>
    <w:rsid w:val="008A1A4A"/>
    <w:rsid w:val="008A1BC0"/>
    <w:rsid w:val="008A234A"/>
    <w:rsid w:val="008A3CFB"/>
    <w:rsid w:val="008B053A"/>
    <w:rsid w:val="008B1681"/>
    <w:rsid w:val="008B237E"/>
    <w:rsid w:val="008B24D9"/>
    <w:rsid w:val="008B372B"/>
    <w:rsid w:val="008B4F41"/>
    <w:rsid w:val="008B535A"/>
    <w:rsid w:val="008B544E"/>
    <w:rsid w:val="008B789D"/>
    <w:rsid w:val="008C2F4C"/>
    <w:rsid w:val="008C345B"/>
    <w:rsid w:val="008C39A3"/>
    <w:rsid w:val="008C3B7E"/>
    <w:rsid w:val="008C538F"/>
    <w:rsid w:val="008C54B5"/>
    <w:rsid w:val="008D002C"/>
    <w:rsid w:val="008D0E58"/>
    <w:rsid w:val="008E07D6"/>
    <w:rsid w:val="008E197D"/>
    <w:rsid w:val="008E1D87"/>
    <w:rsid w:val="008E4978"/>
    <w:rsid w:val="008E4C2B"/>
    <w:rsid w:val="008E6328"/>
    <w:rsid w:val="008F2B39"/>
    <w:rsid w:val="008F39F6"/>
    <w:rsid w:val="008F4338"/>
    <w:rsid w:val="008F64C3"/>
    <w:rsid w:val="008F680E"/>
    <w:rsid w:val="0090081B"/>
    <w:rsid w:val="00901A3C"/>
    <w:rsid w:val="00906D03"/>
    <w:rsid w:val="009101E2"/>
    <w:rsid w:val="009111EB"/>
    <w:rsid w:val="009116BF"/>
    <w:rsid w:val="00911F5F"/>
    <w:rsid w:val="00912245"/>
    <w:rsid w:val="0091333A"/>
    <w:rsid w:val="00915F18"/>
    <w:rsid w:val="009221AA"/>
    <w:rsid w:val="00924D84"/>
    <w:rsid w:val="0092666A"/>
    <w:rsid w:val="00933CF4"/>
    <w:rsid w:val="00933DA5"/>
    <w:rsid w:val="00940DDE"/>
    <w:rsid w:val="00944132"/>
    <w:rsid w:val="00945C4B"/>
    <w:rsid w:val="00950E17"/>
    <w:rsid w:val="00951482"/>
    <w:rsid w:val="00955DDF"/>
    <w:rsid w:val="009637A1"/>
    <w:rsid w:val="00963C58"/>
    <w:rsid w:val="00966EBD"/>
    <w:rsid w:val="00971CAD"/>
    <w:rsid w:val="0097359B"/>
    <w:rsid w:val="00974175"/>
    <w:rsid w:val="0097583E"/>
    <w:rsid w:val="00977170"/>
    <w:rsid w:val="009778C2"/>
    <w:rsid w:val="00981EEC"/>
    <w:rsid w:val="009854DE"/>
    <w:rsid w:val="00985871"/>
    <w:rsid w:val="009863B1"/>
    <w:rsid w:val="00986821"/>
    <w:rsid w:val="0099630C"/>
    <w:rsid w:val="00996BEE"/>
    <w:rsid w:val="00997CBE"/>
    <w:rsid w:val="00997D20"/>
    <w:rsid w:val="009A00E7"/>
    <w:rsid w:val="009A3BAF"/>
    <w:rsid w:val="009A3E09"/>
    <w:rsid w:val="009A625D"/>
    <w:rsid w:val="009B77AD"/>
    <w:rsid w:val="009B7CA0"/>
    <w:rsid w:val="009C0473"/>
    <w:rsid w:val="009C1DFE"/>
    <w:rsid w:val="009C3876"/>
    <w:rsid w:val="009C4D32"/>
    <w:rsid w:val="009C502F"/>
    <w:rsid w:val="009D5377"/>
    <w:rsid w:val="009D6006"/>
    <w:rsid w:val="009E1621"/>
    <w:rsid w:val="009E2060"/>
    <w:rsid w:val="009E2706"/>
    <w:rsid w:val="009E3801"/>
    <w:rsid w:val="009E7D15"/>
    <w:rsid w:val="009F0DCB"/>
    <w:rsid w:val="009F354A"/>
    <w:rsid w:val="009F7AA7"/>
    <w:rsid w:val="00A00970"/>
    <w:rsid w:val="00A01D47"/>
    <w:rsid w:val="00A0554D"/>
    <w:rsid w:val="00A07044"/>
    <w:rsid w:val="00A10922"/>
    <w:rsid w:val="00A11C90"/>
    <w:rsid w:val="00A22A59"/>
    <w:rsid w:val="00A24518"/>
    <w:rsid w:val="00A3003D"/>
    <w:rsid w:val="00A339AB"/>
    <w:rsid w:val="00A33C8C"/>
    <w:rsid w:val="00A371CB"/>
    <w:rsid w:val="00A40CBB"/>
    <w:rsid w:val="00A42EA7"/>
    <w:rsid w:val="00A458FF"/>
    <w:rsid w:val="00A50FBE"/>
    <w:rsid w:val="00A54CAF"/>
    <w:rsid w:val="00A563B5"/>
    <w:rsid w:val="00A57333"/>
    <w:rsid w:val="00A61059"/>
    <w:rsid w:val="00A6113D"/>
    <w:rsid w:val="00A645CF"/>
    <w:rsid w:val="00A64B48"/>
    <w:rsid w:val="00A64DB5"/>
    <w:rsid w:val="00A659AA"/>
    <w:rsid w:val="00A67C85"/>
    <w:rsid w:val="00A703F4"/>
    <w:rsid w:val="00A717D1"/>
    <w:rsid w:val="00A73001"/>
    <w:rsid w:val="00A76D91"/>
    <w:rsid w:val="00A82A13"/>
    <w:rsid w:val="00A84BE7"/>
    <w:rsid w:val="00A84E57"/>
    <w:rsid w:val="00A85345"/>
    <w:rsid w:val="00A90E4F"/>
    <w:rsid w:val="00A90E94"/>
    <w:rsid w:val="00AA522A"/>
    <w:rsid w:val="00AA6566"/>
    <w:rsid w:val="00AA7A38"/>
    <w:rsid w:val="00AB20D6"/>
    <w:rsid w:val="00AB5E58"/>
    <w:rsid w:val="00AB6F0D"/>
    <w:rsid w:val="00AC0A97"/>
    <w:rsid w:val="00AC155C"/>
    <w:rsid w:val="00AC224D"/>
    <w:rsid w:val="00AC31F1"/>
    <w:rsid w:val="00AC395B"/>
    <w:rsid w:val="00AC4984"/>
    <w:rsid w:val="00AC4DA2"/>
    <w:rsid w:val="00AD0BF8"/>
    <w:rsid w:val="00AD5E7D"/>
    <w:rsid w:val="00AE098D"/>
    <w:rsid w:val="00AE1B94"/>
    <w:rsid w:val="00AE1CF1"/>
    <w:rsid w:val="00AE228B"/>
    <w:rsid w:val="00AF2F1C"/>
    <w:rsid w:val="00AF71EA"/>
    <w:rsid w:val="00B01459"/>
    <w:rsid w:val="00B0281C"/>
    <w:rsid w:val="00B05C50"/>
    <w:rsid w:val="00B114AC"/>
    <w:rsid w:val="00B14AFE"/>
    <w:rsid w:val="00B155F5"/>
    <w:rsid w:val="00B16EC9"/>
    <w:rsid w:val="00B214DD"/>
    <w:rsid w:val="00B217CB"/>
    <w:rsid w:val="00B21DC8"/>
    <w:rsid w:val="00B2329C"/>
    <w:rsid w:val="00B24FDA"/>
    <w:rsid w:val="00B251B2"/>
    <w:rsid w:val="00B40AA5"/>
    <w:rsid w:val="00B41058"/>
    <w:rsid w:val="00B413F5"/>
    <w:rsid w:val="00B42DC5"/>
    <w:rsid w:val="00B4449B"/>
    <w:rsid w:val="00B46C52"/>
    <w:rsid w:val="00B530EB"/>
    <w:rsid w:val="00B61E8A"/>
    <w:rsid w:val="00B64BE0"/>
    <w:rsid w:val="00B7197F"/>
    <w:rsid w:val="00B71C48"/>
    <w:rsid w:val="00B76967"/>
    <w:rsid w:val="00B76C3A"/>
    <w:rsid w:val="00B81435"/>
    <w:rsid w:val="00B816B6"/>
    <w:rsid w:val="00B81AFF"/>
    <w:rsid w:val="00B8223B"/>
    <w:rsid w:val="00B83B2D"/>
    <w:rsid w:val="00B8548F"/>
    <w:rsid w:val="00B85989"/>
    <w:rsid w:val="00B914B7"/>
    <w:rsid w:val="00B91A2D"/>
    <w:rsid w:val="00B92C3F"/>
    <w:rsid w:val="00B974AC"/>
    <w:rsid w:val="00BA3C81"/>
    <w:rsid w:val="00BA411F"/>
    <w:rsid w:val="00BA6B1C"/>
    <w:rsid w:val="00BB37E2"/>
    <w:rsid w:val="00BB41B6"/>
    <w:rsid w:val="00BC1BE8"/>
    <w:rsid w:val="00BC3487"/>
    <w:rsid w:val="00BC3A96"/>
    <w:rsid w:val="00BC5B2C"/>
    <w:rsid w:val="00BC63B9"/>
    <w:rsid w:val="00BC66F2"/>
    <w:rsid w:val="00BC77F1"/>
    <w:rsid w:val="00BD48C8"/>
    <w:rsid w:val="00BD6087"/>
    <w:rsid w:val="00BD60D2"/>
    <w:rsid w:val="00BD62BA"/>
    <w:rsid w:val="00BD7820"/>
    <w:rsid w:val="00BE0257"/>
    <w:rsid w:val="00BE080D"/>
    <w:rsid w:val="00BE25EE"/>
    <w:rsid w:val="00BE3B54"/>
    <w:rsid w:val="00BE5129"/>
    <w:rsid w:val="00BF0C8F"/>
    <w:rsid w:val="00BF209A"/>
    <w:rsid w:val="00BF275C"/>
    <w:rsid w:val="00BF2E46"/>
    <w:rsid w:val="00BF3DF5"/>
    <w:rsid w:val="00BF7106"/>
    <w:rsid w:val="00C009FF"/>
    <w:rsid w:val="00C00C0C"/>
    <w:rsid w:val="00C016DF"/>
    <w:rsid w:val="00C01B3B"/>
    <w:rsid w:val="00C03F84"/>
    <w:rsid w:val="00C053B2"/>
    <w:rsid w:val="00C10031"/>
    <w:rsid w:val="00C10610"/>
    <w:rsid w:val="00C1065E"/>
    <w:rsid w:val="00C10939"/>
    <w:rsid w:val="00C10DAE"/>
    <w:rsid w:val="00C125F7"/>
    <w:rsid w:val="00C134A0"/>
    <w:rsid w:val="00C14D1A"/>
    <w:rsid w:val="00C17568"/>
    <w:rsid w:val="00C20AC0"/>
    <w:rsid w:val="00C240C0"/>
    <w:rsid w:val="00C24AF9"/>
    <w:rsid w:val="00C2550F"/>
    <w:rsid w:val="00C3016D"/>
    <w:rsid w:val="00C303C6"/>
    <w:rsid w:val="00C30DC0"/>
    <w:rsid w:val="00C41958"/>
    <w:rsid w:val="00C420B8"/>
    <w:rsid w:val="00C420EC"/>
    <w:rsid w:val="00C42D5F"/>
    <w:rsid w:val="00C4369B"/>
    <w:rsid w:val="00C43732"/>
    <w:rsid w:val="00C44F91"/>
    <w:rsid w:val="00C460C1"/>
    <w:rsid w:val="00C51B72"/>
    <w:rsid w:val="00C51DFC"/>
    <w:rsid w:val="00C529E1"/>
    <w:rsid w:val="00C567FB"/>
    <w:rsid w:val="00C633A5"/>
    <w:rsid w:val="00C63DCA"/>
    <w:rsid w:val="00C64D71"/>
    <w:rsid w:val="00C76DF2"/>
    <w:rsid w:val="00C84B45"/>
    <w:rsid w:val="00C8608E"/>
    <w:rsid w:val="00C900EE"/>
    <w:rsid w:val="00C931BF"/>
    <w:rsid w:val="00C96E88"/>
    <w:rsid w:val="00CA2097"/>
    <w:rsid w:val="00CA384B"/>
    <w:rsid w:val="00CB30B6"/>
    <w:rsid w:val="00CB3D73"/>
    <w:rsid w:val="00CB6E63"/>
    <w:rsid w:val="00CB738E"/>
    <w:rsid w:val="00CC0E07"/>
    <w:rsid w:val="00CC23D7"/>
    <w:rsid w:val="00CC3315"/>
    <w:rsid w:val="00CD5885"/>
    <w:rsid w:val="00CD69BD"/>
    <w:rsid w:val="00CD6CCD"/>
    <w:rsid w:val="00CE6ED9"/>
    <w:rsid w:val="00CF0B79"/>
    <w:rsid w:val="00CF120E"/>
    <w:rsid w:val="00CF3947"/>
    <w:rsid w:val="00CF4EEE"/>
    <w:rsid w:val="00CF63F9"/>
    <w:rsid w:val="00D02EE5"/>
    <w:rsid w:val="00D0602B"/>
    <w:rsid w:val="00D06260"/>
    <w:rsid w:val="00D07209"/>
    <w:rsid w:val="00D07B79"/>
    <w:rsid w:val="00D11590"/>
    <w:rsid w:val="00D15075"/>
    <w:rsid w:val="00D16CC9"/>
    <w:rsid w:val="00D17306"/>
    <w:rsid w:val="00D17551"/>
    <w:rsid w:val="00D21C2E"/>
    <w:rsid w:val="00D24FE5"/>
    <w:rsid w:val="00D2653F"/>
    <w:rsid w:val="00D27738"/>
    <w:rsid w:val="00D31E9D"/>
    <w:rsid w:val="00D34C01"/>
    <w:rsid w:val="00D40807"/>
    <w:rsid w:val="00D40B72"/>
    <w:rsid w:val="00D415A5"/>
    <w:rsid w:val="00D4244B"/>
    <w:rsid w:val="00D42C5F"/>
    <w:rsid w:val="00D45E30"/>
    <w:rsid w:val="00D50398"/>
    <w:rsid w:val="00D5202A"/>
    <w:rsid w:val="00D53B3A"/>
    <w:rsid w:val="00D56C7C"/>
    <w:rsid w:val="00D57CD9"/>
    <w:rsid w:val="00D6016E"/>
    <w:rsid w:val="00D60CD6"/>
    <w:rsid w:val="00D628E7"/>
    <w:rsid w:val="00D70E6D"/>
    <w:rsid w:val="00D73262"/>
    <w:rsid w:val="00D75EBE"/>
    <w:rsid w:val="00D82B72"/>
    <w:rsid w:val="00D850A3"/>
    <w:rsid w:val="00D862C0"/>
    <w:rsid w:val="00DA0B53"/>
    <w:rsid w:val="00DA2280"/>
    <w:rsid w:val="00DA7A05"/>
    <w:rsid w:val="00DB03DF"/>
    <w:rsid w:val="00DB129D"/>
    <w:rsid w:val="00DB3956"/>
    <w:rsid w:val="00DB78A1"/>
    <w:rsid w:val="00DC056A"/>
    <w:rsid w:val="00DC4448"/>
    <w:rsid w:val="00DD4D35"/>
    <w:rsid w:val="00DD4FD2"/>
    <w:rsid w:val="00DD7C5D"/>
    <w:rsid w:val="00DE2015"/>
    <w:rsid w:val="00DE36B6"/>
    <w:rsid w:val="00DE3A1C"/>
    <w:rsid w:val="00DE787F"/>
    <w:rsid w:val="00DF2705"/>
    <w:rsid w:val="00DF3B50"/>
    <w:rsid w:val="00DF524F"/>
    <w:rsid w:val="00E033A9"/>
    <w:rsid w:val="00E03929"/>
    <w:rsid w:val="00E03C60"/>
    <w:rsid w:val="00E073FD"/>
    <w:rsid w:val="00E129A8"/>
    <w:rsid w:val="00E1357D"/>
    <w:rsid w:val="00E13E66"/>
    <w:rsid w:val="00E14118"/>
    <w:rsid w:val="00E16B4C"/>
    <w:rsid w:val="00E21926"/>
    <w:rsid w:val="00E222D9"/>
    <w:rsid w:val="00E23A49"/>
    <w:rsid w:val="00E31369"/>
    <w:rsid w:val="00E33A01"/>
    <w:rsid w:val="00E36825"/>
    <w:rsid w:val="00E4434E"/>
    <w:rsid w:val="00E53C26"/>
    <w:rsid w:val="00E53C90"/>
    <w:rsid w:val="00E53D5E"/>
    <w:rsid w:val="00E5428D"/>
    <w:rsid w:val="00E55585"/>
    <w:rsid w:val="00E55CD6"/>
    <w:rsid w:val="00E55D70"/>
    <w:rsid w:val="00E56A20"/>
    <w:rsid w:val="00E57996"/>
    <w:rsid w:val="00E61CF8"/>
    <w:rsid w:val="00E66414"/>
    <w:rsid w:val="00E66ED3"/>
    <w:rsid w:val="00E71E5A"/>
    <w:rsid w:val="00E74233"/>
    <w:rsid w:val="00E828E6"/>
    <w:rsid w:val="00E84B38"/>
    <w:rsid w:val="00E8688C"/>
    <w:rsid w:val="00E9389D"/>
    <w:rsid w:val="00E957E9"/>
    <w:rsid w:val="00E96593"/>
    <w:rsid w:val="00EA1584"/>
    <w:rsid w:val="00EA431D"/>
    <w:rsid w:val="00EB05EB"/>
    <w:rsid w:val="00EB562F"/>
    <w:rsid w:val="00EB6085"/>
    <w:rsid w:val="00EB6726"/>
    <w:rsid w:val="00EB7FC2"/>
    <w:rsid w:val="00EC448C"/>
    <w:rsid w:val="00EC5CE8"/>
    <w:rsid w:val="00EC650E"/>
    <w:rsid w:val="00EC6C22"/>
    <w:rsid w:val="00EC6ED5"/>
    <w:rsid w:val="00ED05B2"/>
    <w:rsid w:val="00ED549F"/>
    <w:rsid w:val="00ED6233"/>
    <w:rsid w:val="00ED6A4F"/>
    <w:rsid w:val="00ED7449"/>
    <w:rsid w:val="00EE4D2B"/>
    <w:rsid w:val="00EF1C7B"/>
    <w:rsid w:val="00EF2BC3"/>
    <w:rsid w:val="00EF41EE"/>
    <w:rsid w:val="00EF4A6D"/>
    <w:rsid w:val="00EF5B9B"/>
    <w:rsid w:val="00F00010"/>
    <w:rsid w:val="00F02A18"/>
    <w:rsid w:val="00F075B6"/>
    <w:rsid w:val="00F102C8"/>
    <w:rsid w:val="00F1189C"/>
    <w:rsid w:val="00F132AE"/>
    <w:rsid w:val="00F1625F"/>
    <w:rsid w:val="00F1652B"/>
    <w:rsid w:val="00F17C82"/>
    <w:rsid w:val="00F17FFD"/>
    <w:rsid w:val="00F20995"/>
    <w:rsid w:val="00F21CFD"/>
    <w:rsid w:val="00F22307"/>
    <w:rsid w:val="00F235FC"/>
    <w:rsid w:val="00F27C93"/>
    <w:rsid w:val="00F302ED"/>
    <w:rsid w:val="00F31C1B"/>
    <w:rsid w:val="00F41CCB"/>
    <w:rsid w:val="00F42699"/>
    <w:rsid w:val="00F43991"/>
    <w:rsid w:val="00F4537C"/>
    <w:rsid w:val="00F471CB"/>
    <w:rsid w:val="00F477C1"/>
    <w:rsid w:val="00F55F97"/>
    <w:rsid w:val="00F578E4"/>
    <w:rsid w:val="00F57A81"/>
    <w:rsid w:val="00F63387"/>
    <w:rsid w:val="00F63540"/>
    <w:rsid w:val="00F63870"/>
    <w:rsid w:val="00F64CD7"/>
    <w:rsid w:val="00F64FA6"/>
    <w:rsid w:val="00F6646A"/>
    <w:rsid w:val="00F67992"/>
    <w:rsid w:val="00F72528"/>
    <w:rsid w:val="00F73793"/>
    <w:rsid w:val="00F74B7C"/>
    <w:rsid w:val="00F77B8D"/>
    <w:rsid w:val="00F81405"/>
    <w:rsid w:val="00F840AE"/>
    <w:rsid w:val="00F8609B"/>
    <w:rsid w:val="00F90C3F"/>
    <w:rsid w:val="00F93F48"/>
    <w:rsid w:val="00F9480E"/>
    <w:rsid w:val="00FA13A5"/>
    <w:rsid w:val="00FA2BBA"/>
    <w:rsid w:val="00FA4CD6"/>
    <w:rsid w:val="00FB01DD"/>
    <w:rsid w:val="00FB5F4F"/>
    <w:rsid w:val="00FB6856"/>
    <w:rsid w:val="00FB7D7A"/>
    <w:rsid w:val="00FC4D60"/>
    <w:rsid w:val="00FC6713"/>
    <w:rsid w:val="00FC6DB4"/>
    <w:rsid w:val="00FD2594"/>
    <w:rsid w:val="00FD2E82"/>
    <w:rsid w:val="00FD381B"/>
    <w:rsid w:val="00FD5746"/>
    <w:rsid w:val="00FD5846"/>
    <w:rsid w:val="00FE1BB0"/>
    <w:rsid w:val="00FE2282"/>
    <w:rsid w:val="00FF2267"/>
    <w:rsid w:val="00FF241E"/>
    <w:rsid w:val="00FF3FFA"/>
    <w:rsid w:val="00FF542B"/>
    <w:rsid w:val="00FF5432"/>
    <w:rsid w:val="00FF6F4A"/>
    <w:rsid w:val="02534ED3"/>
    <w:rsid w:val="0742C38B"/>
    <w:rsid w:val="0AFC7898"/>
    <w:rsid w:val="112AC1C6"/>
    <w:rsid w:val="120D40A6"/>
    <w:rsid w:val="13CFC59B"/>
    <w:rsid w:val="14CED690"/>
    <w:rsid w:val="15E860A4"/>
    <w:rsid w:val="1636066E"/>
    <w:rsid w:val="197E1833"/>
    <w:rsid w:val="1B905BEB"/>
    <w:rsid w:val="1C512811"/>
    <w:rsid w:val="1C819053"/>
    <w:rsid w:val="266DFBD8"/>
    <w:rsid w:val="282BC71F"/>
    <w:rsid w:val="2847338E"/>
    <w:rsid w:val="29325745"/>
    <w:rsid w:val="293A3229"/>
    <w:rsid w:val="29E4B057"/>
    <w:rsid w:val="2A427535"/>
    <w:rsid w:val="2ADBB860"/>
    <w:rsid w:val="2B2C0C57"/>
    <w:rsid w:val="2B6EB7C3"/>
    <w:rsid w:val="2BC34173"/>
    <w:rsid w:val="2D0530D6"/>
    <w:rsid w:val="35099E30"/>
    <w:rsid w:val="355E5477"/>
    <w:rsid w:val="35A6BC79"/>
    <w:rsid w:val="36CED521"/>
    <w:rsid w:val="372C876F"/>
    <w:rsid w:val="386A5C92"/>
    <w:rsid w:val="3B4E54D6"/>
    <w:rsid w:val="3CB0B282"/>
    <w:rsid w:val="3E85952F"/>
    <w:rsid w:val="3F26C7AF"/>
    <w:rsid w:val="41855691"/>
    <w:rsid w:val="41934616"/>
    <w:rsid w:val="422571B5"/>
    <w:rsid w:val="43382C83"/>
    <w:rsid w:val="45420DD7"/>
    <w:rsid w:val="45821746"/>
    <w:rsid w:val="460C78F0"/>
    <w:rsid w:val="488848DA"/>
    <w:rsid w:val="4A12A2C8"/>
    <w:rsid w:val="4A4A9780"/>
    <w:rsid w:val="4A555355"/>
    <w:rsid w:val="4C2B8B90"/>
    <w:rsid w:val="5010BF01"/>
    <w:rsid w:val="530D39F5"/>
    <w:rsid w:val="539586E3"/>
    <w:rsid w:val="53D36751"/>
    <w:rsid w:val="5BC4D5C0"/>
    <w:rsid w:val="5C0C04E1"/>
    <w:rsid w:val="5E241B5B"/>
    <w:rsid w:val="5FC22841"/>
    <w:rsid w:val="611CB1F9"/>
    <w:rsid w:val="64158647"/>
    <w:rsid w:val="69AFA9FE"/>
    <w:rsid w:val="6E0B9548"/>
    <w:rsid w:val="6FD549CE"/>
    <w:rsid w:val="72F50C59"/>
    <w:rsid w:val="786A58F1"/>
    <w:rsid w:val="79236FA0"/>
    <w:rsid w:val="7B2AAB46"/>
    <w:rsid w:val="7B8EAC11"/>
    <w:rsid w:val="7CE87D70"/>
    <w:rsid w:val="7F394DB4"/>
    <w:rsid w:val="7F658A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2AAB46"/>
  <w15:chartTrackingRefBased/>
  <w15:docId w15:val="{5E56B44C-6349-4C78-8DF3-8A4B15A5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0C0C"/>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C00C0C"/>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ED7449"/>
    <w:pPr>
      <w:keepNext/>
      <w:keepLines/>
      <w:spacing w:before="40" w:after="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unhideWhenUsed/>
    <w:qFormat/>
    <w:rsid w:val="00ED7449"/>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uiPriority w:val="9"/>
    <w:unhideWhenUsed/>
    <w:qFormat/>
    <w:rsid w:val="5C0C04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3AA"/>
    <w:pPr>
      <w:keepNext/>
      <w:keepLines/>
      <w:spacing w:before="40" w:after="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3663AA"/>
    <w:pPr>
      <w:keepNext/>
      <w:keepLines/>
      <w:spacing w:before="40" w:after="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3663A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663A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00282B25"/>
    <w:pPr>
      <w:tabs>
        <w:tab w:val="center" w:pos="4680"/>
        <w:tab w:val="right" w:pos="9360"/>
      </w:tabs>
      <w:spacing w:after="0" w:line="240" w:lineRule="auto"/>
    </w:pPr>
  </w:style>
  <w:style w:type="paragraph" w:styleId="Footer">
    <w:name w:val="footer"/>
    <w:basedOn w:val="Normal"/>
    <w:uiPriority w:val="99"/>
    <w:unhideWhenUsed/>
    <w:rsid w:val="00282B25"/>
    <w:pPr>
      <w:tabs>
        <w:tab w:val="center" w:pos="4680"/>
        <w:tab w:val="right" w:pos="9360"/>
      </w:tabs>
      <w:spacing w:after="0" w:line="240" w:lineRule="auto"/>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00C0C"/>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C00C0C"/>
    <w:rPr>
      <w:rFonts w:asciiTheme="majorHAnsi" w:eastAsiaTheme="majorEastAsia" w:hAnsiTheme="majorHAnsi" w:cstheme="majorBidi"/>
      <w:color w:val="0F4761" w:themeColor="accent1" w:themeShade="BF"/>
      <w:sz w:val="26"/>
      <w:szCs w:val="26"/>
    </w:rPr>
  </w:style>
  <w:style w:type="paragraph" w:styleId="TOC1">
    <w:name w:val="toc 1"/>
    <w:basedOn w:val="Normal"/>
    <w:next w:val="Normal"/>
    <w:autoRedefine/>
    <w:uiPriority w:val="39"/>
    <w:unhideWhenUsed/>
    <w:rsid w:val="00837EDB"/>
    <w:pPr>
      <w:spacing w:after="100"/>
    </w:pPr>
  </w:style>
  <w:style w:type="paragraph" w:styleId="TOC2">
    <w:name w:val="toc 2"/>
    <w:basedOn w:val="Normal"/>
    <w:next w:val="Normal"/>
    <w:autoRedefine/>
    <w:uiPriority w:val="39"/>
    <w:unhideWhenUsed/>
    <w:rsid w:val="00837EDB"/>
    <w:pPr>
      <w:spacing w:after="100"/>
      <w:ind w:left="240"/>
    </w:pPr>
  </w:style>
  <w:style w:type="character" w:styleId="Hyperlink">
    <w:name w:val="Hyperlink"/>
    <w:basedOn w:val="DefaultParagraphFont"/>
    <w:uiPriority w:val="99"/>
    <w:unhideWhenUsed/>
    <w:rsid w:val="00837EDB"/>
    <w:rPr>
      <w:color w:val="467886" w:themeColor="hyperlink"/>
      <w:u w:val="single"/>
    </w:rPr>
  </w:style>
  <w:style w:type="character" w:styleId="UnresolvedMention">
    <w:name w:val="Unresolved Mention"/>
    <w:basedOn w:val="DefaultParagraphFont"/>
    <w:uiPriority w:val="99"/>
    <w:semiHidden/>
    <w:unhideWhenUsed/>
    <w:rsid w:val="00ED7449"/>
    <w:rPr>
      <w:color w:val="605E5C"/>
      <w:shd w:val="clear" w:color="auto" w:fill="E1DFDD"/>
    </w:rPr>
  </w:style>
  <w:style w:type="paragraph" w:styleId="ListParagraph">
    <w:name w:val="List Paragraph"/>
    <w:basedOn w:val="Normal"/>
    <w:uiPriority w:val="34"/>
    <w:qFormat/>
    <w:rsid w:val="00ED7449"/>
    <w:pPr>
      <w:ind w:left="720"/>
      <w:contextualSpacing/>
    </w:pPr>
  </w:style>
  <w:style w:type="paragraph" w:styleId="Title">
    <w:name w:val="Title"/>
    <w:basedOn w:val="Normal"/>
    <w:next w:val="Normal"/>
    <w:link w:val="TitleChar"/>
    <w:uiPriority w:val="10"/>
    <w:qFormat/>
    <w:rsid w:val="00ED744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449"/>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ED7449"/>
    <w:rPr>
      <w:rFonts w:asciiTheme="majorHAnsi" w:eastAsiaTheme="majorEastAsia" w:hAnsiTheme="majorHAnsi" w:cstheme="majorBidi"/>
      <w:color w:val="0A2F40" w:themeColor="accent1" w:themeShade="7F"/>
    </w:rPr>
  </w:style>
  <w:style w:type="character" w:customStyle="1" w:styleId="Heading4Char">
    <w:name w:val="Heading 4 Char"/>
    <w:basedOn w:val="DefaultParagraphFont"/>
    <w:link w:val="Heading4"/>
    <w:uiPriority w:val="9"/>
    <w:rsid w:val="00ED7449"/>
    <w:rPr>
      <w:rFonts w:asciiTheme="majorHAnsi" w:eastAsiaTheme="majorEastAsia" w:hAnsiTheme="majorHAnsi" w:cstheme="majorBidi"/>
      <w:i/>
      <w:iCs/>
      <w:color w:val="0F4761" w:themeColor="accent1" w:themeShade="BF"/>
    </w:rPr>
  </w:style>
  <w:style w:type="paragraph" w:styleId="EndnoteText">
    <w:name w:val="endnote text"/>
    <w:basedOn w:val="Normal"/>
    <w:link w:val="EndnoteTextChar"/>
    <w:uiPriority w:val="99"/>
    <w:unhideWhenUsed/>
    <w:rsid w:val="002A2FFD"/>
    <w:pPr>
      <w:spacing w:after="0" w:line="240" w:lineRule="auto"/>
    </w:pPr>
    <w:rPr>
      <w:rFonts w:eastAsiaTheme="minorHAnsi"/>
      <w:kern w:val="2"/>
      <w:sz w:val="20"/>
      <w:szCs w:val="20"/>
      <w:lang w:eastAsia="en-US"/>
      <w14:ligatures w14:val="standardContextual"/>
    </w:rPr>
  </w:style>
  <w:style w:type="character" w:customStyle="1" w:styleId="EndnoteTextChar">
    <w:name w:val="Endnote Text Char"/>
    <w:basedOn w:val="DefaultParagraphFont"/>
    <w:link w:val="EndnoteText"/>
    <w:uiPriority w:val="99"/>
    <w:rsid w:val="002A2FFD"/>
    <w:rPr>
      <w:rFonts w:eastAsiaTheme="minorHAnsi"/>
      <w:kern w:val="2"/>
      <w:sz w:val="20"/>
      <w:szCs w:val="20"/>
      <w:lang w:eastAsia="en-US"/>
      <w14:ligatures w14:val="standardContextual"/>
    </w:rPr>
  </w:style>
  <w:style w:type="character" w:styleId="EndnoteReference">
    <w:name w:val="endnote reference"/>
    <w:basedOn w:val="DefaultParagraphFont"/>
    <w:uiPriority w:val="99"/>
    <w:unhideWhenUsed/>
    <w:rsid w:val="002A2FFD"/>
    <w:rPr>
      <w:vertAlign w:val="superscript"/>
    </w:rPr>
  </w:style>
  <w:style w:type="character" w:styleId="CommentReference">
    <w:name w:val="annotation reference"/>
    <w:basedOn w:val="DefaultParagraphFont"/>
    <w:uiPriority w:val="99"/>
    <w:semiHidden/>
    <w:unhideWhenUsed/>
    <w:rsid w:val="00482EBE"/>
    <w:rPr>
      <w:sz w:val="16"/>
      <w:szCs w:val="16"/>
    </w:rPr>
  </w:style>
  <w:style w:type="paragraph" w:styleId="CommentText">
    <w:name w:val="annotation text"/>
    <w:basedOn w:val="Normal"/>
    <w:link w:val="CommentTextChar"/>
    <w:uiPriority w:val="99"/>
    <w:unhideWhenUsed/>
    <w:rsid w:val="00482EBE"/>
    <w:pPr>
      <w:spacing w:line="240" w:lineRule="auto"/>
    </w:pPr>
    <w:rPr>
      <w:rFonts w:eastAsiaTheme="minorHAns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482EBE"/>
    <w:rPr>
      <w:rFonts w:eastAsiaTheme="minorHAnsi"/>
      <w:kern w:val="2"/>
      <w:sz w:val="20"/>
      <w:szCs w:val="20"/>
      <w:lang w:eastAsia="en-US"/>
      <w14:ligatures w14:val="standardContextual"/>
    </w:rPr>
  </w:style>
  <w:style w:type="character" w:styleId="FollowedHyperlink">
    <w:name w:val="FollowedHyperlink"/>
    <w:basedOn w:val="DefaultParagraphFont"/>
    <w:uiPriority w:val="99"/>
    <w:semiHidden/>
    <w:unhideWhenUsed/>
    <w:rsid w:val="001F17CD"/>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0B4FB5"/>
    <w:rPr>
      <w:rFonts w:eastAsiaTheme="minorEastAsia"/>
      <w:b/>
      <w:bCs/>
      <w:kern w:val="0"/>
      <w:lang w:eastAsia="ja-JP"/>
      <w14:ligatures w14:val="none"/>
    </w:rPr>
  </w:style>
  <w:style w:type="character" w:customStyle="1" w:styleId="CommentSubjectChar">
    <w:name w:val="Comment Subject Char"/>
    <w:basedOn w:val="CommentTextChar"/>
    <w:link w:val="CommentSubject"/>
    <w:uiPriority w:val="99"/>
    <w:semiHidden/>
    <w:rsid w:val="000B4FB5"/>
    <w:rPr>
      <w:rFonts w:eastAsiaTheme="minorHAnsi"/>
      <w:b/>
      <w:bCs/>
      <w:kern w:val="2"/>
      <w:sz w:val="20"/>
      <w:szCs w:val="20"/>
      <w:lang w:eastAsia="en-US"/>
      <w14:ligatures w14:val="standardContextual"/>
    </w:rPr>
  </w:style>
  <w:style w:type="paragraph" w:styleId="FootnoteText">
    <w:name w:val="footnote text"/>
    <w:basedOn w:val="Normal"/>
    <w:link w:val="FootnoteTextChar"/>
    <w:uiPriority w:val="99"/>
    <w:semiHidden/>
    <w:unhideWhenUsed/>
    <w:rsid w:val="00AC22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24D"/>
    <w:rPr>
      <w:sz w:val="20"/>
      <w:szCs w:val="20"/>
    </w:rPr>
  </w:style>
  <w:style w:type="character" w:styleId="FootnoteReference">
    <w:name w:val="footnote reference"/>
    <w:basedOn w:val="DefaultParagraphFont"/>
    <w:uiPriority w:val="99"/>
    <w:semiHidden/>
    <w:unhideWhenUsed/>
    <w:rsid w:val="00AC224D"/>
    <w:rPr>
      <w:vertAlign w:val="superscript"/>
    </w:rPr>
  </w:style>
  <w:style w:type="table" w:styleId="GridTable1Light-Accent1">
    <w:name w:val="Grid Table 1 Light Accent 1"/>
    <w:basedOn w:val="TableNormal"/>
    <w:uiPriority w:val="46"/>
    <w:rsid w:val="0080018E"/>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80018E"/>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4">
    <w:name w:val="List Table 4 Accent 4"/>
    <w:basedOn w:val="TableNormal"/>
    <w:uiPriority w:val="49"/>
    <w:rsid w:val="00C460C1"/>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1Light-Accent4">
    <w:name w:val="Grid Table 1 Light Accent 4"/>
    <w:basedOn w:val="TableNormal"/>
    <w:uiPriority w:val="46"/>
    <w:rsid w:val="00452FF8"/>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ListTable4-Accent5">
    <w:name w:val="List Table 4 Accent 5"/>
    <w:basedOn w:val="TableNormal"/>
    <w:uiPriority w:val="49"/>
    <w:rsid w:val="00452FF8"/>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TableGridLight1">
    <w:name w:val="Table Grid Light1"/>
    <w:basedOn w:val="TableNormal"/>
    <w:uiPriority w:val="40"/>
    <w:rsid w:val="00EF41EE"/>
    <w:pPr>
      <w:spacing w:after="0" w:line="240" w:lineRule="auto"/>
    </w:pPr>
    <w:rPr>
      <w:rFonts w:eastAsiaTheme="minorHAns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arkzct3fgndr">
    <w:name w:val="markzct3fgndr"/>
    <w:basedOn w:val="DefaultParagraphFont"/>
    <w:rsid w:val="00EF41EE"/>
  </w:style>
  <w:style w:type="table" w:styleId="GridTable6Colorful-Accent4">
    <w:name w:val="Grid Table 6 Colorful Accent 4"/>
    <w:basedOn w:val="TableNormal"/>
    <w:uiPriority w:val="51"/>
    <w:rsid w:val="00EF41E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1Light-Accent5">
    <w:name w:val="Grid Table 1 Light Accent 5"/>
    <w:basedOn w:val="TableNormal"/>
    <w:uiPriority w:val="46"/>
    <w:rsid w:val="009B7CA0"/>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paragraph" w:styleId="Revision">
    <w:name w:val="Revision"/>
    <w:hidden/>
    <w:uiPriority w:val="99"/>
    <w:semiHidden/>
    <w:rsid w:val="00A01D47"/>
    <w:pPr>
      <w:spacing w:after="0" w:line="240" w:lineRule="auto"/>
    </w:pPr>
  </w:style>
  <w:style w:type="table" w:styleId="GridTable4-Accent4">
    <w:name w:val="Grid Table 4 Accent 4"/>
    <w:basedOn w:val="TableNormal"/>
    <w:uiPriority w:val="49"/>
    <w:rsid w:val="00271E84"/>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styleId="TOCHeading">
    <w:name w:val="TOC Heading"/>
    <w:basedOn w:val="Heading1"/>
    <w:next w:val="Normal"/>
    <w:uiPriority w:val="39"/>
    <w:unhideWhenUsed/>
    <w:qFormat/>
    <w:rsid w:val="005B58C9"/>
    <w:pPr>
      <w:spacing w:line="259" w:lineRule="auto"/>
      <w:outlineLvl w:val="9"/>
    </w:pPr>
    <w:rPr>
      <w:lang w:eastAsia="en-US"/>
    </w:rPr>
  </w:style>
  <w:style w:type="paragraph" w:styleId="TOC3">
    <w:name w:val="toc 3"/>
    <w:basedOn w:val="Normal"/>
    <w:next w:val="Normal"/>
    <w:autoRedefine/>
    <w:uiPriority w:val="39"/>
    <w:unhideWhenUsed/>
    <w:rsid w:val="005B58C9"/>
    <w:pPr>
      <w:spacing w:after="100"/>
      <w:ind w:left="480"/>
    </w:pPr>
  </w:style>
  <w:style w:type="paragraph" w:styleId="BalloonText">
    <w:name w:val="Balloon Text"/>
    <w:basedOn w:val="Normal"/>
    <w:link w:val="BalloonTextChar"/>
    <w:uiPriority w:val="99"/>
    <w:semiHidden/>
    <w:unhideWhenUsed/>
    <w:rsid w:val="003663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3AA"/>
    <w:rPr>
      <w:rFonts w:ascii="Segoe UI" w:hAnsi="Segoe UI" w:cs="Segoe UI"/>
      <w:sz w:val="18"/>
      <w:szCs w:val="18"/>
    </w:rPr>
  </w:style>
  <w:style w:type="paragraph" w:styleId="Bibliography">
    <w:name w:val="Bibliography"/>
    <w:basedOn w:val="Normal"/>
    <w:next w:val="Normal"/>
    <w:uiPriority w:val="37"/>
    <w:semiHidden/>
    <w:unhideWhenUsed/>
    <w:rsid w:val="003663AA"/>
  </w:style>
  <w:style w:type="paragraph" w:styleId="BlockText">
    <w:name w:val="Block Text"/>
    <w:basedOn w:val="Normal"/>
    <w:uiPriority w:val="99"/>
    <w:semiHidden/>
    <w:unhideWhenUsed/>
    <w:rsid w:val="003663AA"/>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semiHidden/>
    <w:unhideWhenUsed/>
    <w:rsid w:val="003663AA"/>
    <w:pPr>
      <w:spacing w:after="120"/>
    </w:pPr>
  </w:style>
  <w:style w:type="character" w:customStyle="1" w:styleId="BodyTextChar">
    <w:name w:val="Body Text Char"/>
    <w:basedOn w:val="DefaultParagraphFont"/>
    <w:link w:val="BodyText"/>
    <w:uiPriority w:val="99"/>
    <w:semiHidden/>
    <w:rsid w:val="003663AA"/>
  </w:style>
  <w:style w:type="paragraph" w:styleId="BodyText2">
    <w:name w:val="Body Text 2"/>
    <w:basedOn w:val="Normal"/>
    <w:link w:val="BodyText2Char"/>
    <w:uiPriority w:val="99"/>
    <w:semiHidden/>
    <w:unhideWhenUsed/>
    <w:rsid w:val="003663AA"/>
    <w:pPr>
      <w:spacing w:after="120" w:line="480" w:lineRule="auto"/>
    </w:pPr>
  </w:style>
  <w:style w:type="character" w:customStyle="1" w:styleId="BodyText2Char">
    <w:name w:val="Body Text 2 Char"/>
    <w:basedOn w:val="DefaultParagraphFont"/>
    <w:link w:val="BodyText2"/>
    <w:uiPriority w:val="99"/>
    <w:semiHidden/>
    <w:rsid w:val="003663AA"/>
  </w:style>
  <w:style w:type="paragraph" w:styleId="BodyText3">
    <w:name w:val="Body Text 3"/>
    <w:basedOn w:val="Normal"/>
    <w:link w:val="BodyText3Char"/>
    <w:uiPriority w:val="99"/>
    <w:semiHidden/>
    <w:unhideWhenUsed/>
    <w:rsid w:val="003663AA"/>
    <w:pPr>
      <w:spacing w:after="120"/>
    </w:pPr>
    <w:rPr>
      <w:sz w:val="16"/>
      <w:szCs w:val="16"/>
    </w:rPr>
  </w:style>
  <w:style w:type="character" w:customStyle="1" w:styleId="BodyText3Char">
    <w:name w:val="Body Text 3 Char"/>
    <w:basedOn w:val="DefaultParagraphFont"/>
    <w:link w:val="BodyText3"/>
    <w:uiPriority w:val="99"/>
    <w:semiHidden/>
    <w:rsid w:val="003663AA"/>
    <w:rPr>
      <w:sz w:val="16"/>
      <w:szCs w:val="16"/>
    </w:rPr>
  </w:style>
  <w:style w:type="paragraph" w:styleId="BodyTextFirstIndent">
    <w:name w:val="Body Text First Indent"/>
    <w:basedOn w:val="BodyText"/>
    <w:link w:val="BodyTextFirstIndentChar"/>
    <w:uiPriority w:val="99"/>
    <w:semiHidden/>
    <w:unhideWhenUsed/>
    <w:rsid w:val="003663AA"/>
    <w:pPr>
      <w:spacing w:after="160"/>
      <w:ind w:firstLine="360"/>
    </w:pPr>
  </w:style>
  <w:style w:type="character" w:customStyle="1" w:styleId="BodyTextFirstIndentChar">
    <w:name w:val="Body Text First Indent Char"/>
    <w:basedOn w:val="BodyTextChar"/>
    <w:link w:val="BodyTextFirstIndent"/>
    <w:uiPriority w:val="99"/>
    <w:semiHidden/>
    <w:rsid w:val="003663AA"/>
  </w:style>
  <w:style w:type="paragraph" w:styleId="BodyTextIndent">
    <w:name w:val="Body Text Indent"/>
    <w:basedOn w:val="Normal"/>
    <w:link w:val="BodyTextIndentChar"/>
    <w:uiPriority w:val="99"/>
    <w:semiHidden/>
    <w:unhideWhenUsed/>
    <w:rsid w:val="003663AA"/>
    <w:pPr>
      <w:spacing w:after="120"/>
      <w:ind w:left="360"/>
    </w:pPr>
  </w:style>
  <w:style w:type="character" w:customStyle="1" w:styleId="BodyTextIndentChar">
    <w:name w:val="Body Text Indent Char"/>
    <w:basedOn w:val="DefaultParagraphFont"/>
    <w:link w:val="BodyTextIndent"/>
    <w:uiPriority w:val="99"/>
    <w:semiHidden/>
    <w:rsid w:val="003663AA"/>
  </w:style>
  <w:style w:type="paragraph" w:styleId="BodyTextFirstIndent2">
    <w:name w:val="Body Text First Indent 2"/>
    <w:basedOn w:val="BodyTextIndent"/>
    <w:link w:val="BodyTextFirstIndent2Char"/>
    <w:uiPriority w:val="99"/>
    <w:semiHidden/>
    <w:unhideWhenUsed/>
    <w:rsid w:val="003663AA"/>
    <w:pPr>
      <w:spacing w:after="160"/>
      <w:ind w:firstLine="360"/>
    </w:pPr>
  </w:style>
  <w:style w:type="character" w:customStyle="1" w:styleId="BodyTextFirstIndent2Char">
    <w:name w:val="Body Text First Indent 2 Char"/>
    <w:basedOn w:val="BodyTextIndentChar"/>
    <w:link w:val="BodyTextFirstIndent2"/>
    <w:uiPriority w:val="99"/>
    <w:semiHidden/>
    <w:rsid w:val="003663AA"/>
  </w:style>
  <w:style w:type="paragraph" w:styleId="BodyTextIndent2">
    <w:name w:val="Body Text Indent 2"/>
    <w:basedOn w:val="Normal"/>
    <w:link w:val="BodyTextIndent2Char"/>
    <w:uiPriority w:val="99"/>
    <w:semiHidden/>
    <w:unhideWhenUsed/>
    <w:rsid w:val="003663AA"/>
    <w:pPr>
      <w:spacing w:after="120" w:line="480" w:lineRule="auto"/>
      <w:ind w:left="360"/>
    </w:pPr>
  </w:style>
  <w:style w:type="character" w:customStyle="1" w:styleId="BodyTextIndent2Char">
    <w:name w:val="Body Text Indent 2 Char"/>
    <w:basedOn w:val="DefaultParagraphFont"/>
    <w:link w:val="BodyTextIndent2"/>
    <w:uiPriority w:val="99"/>
    <w:semiHidden/>
    <w:rsid w:val="003663AA"/>
  </w:style>
  <w:style w:type="paragraph" w:styleId="BodyTextIndent3">
    <w:name w:val="Body Text Indent 3"/>
    <w:basedOn w:val="Normal"/>
    <w:link w:val="BodyTextIndent3Char"/>
    <w:uiPriority w:val="99"/>
    <w:semiHidden/>
    <w:unhideWhenUsed/>
    <w:rsid w:val="003663A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663AA"/>
    <w:rPr>
      <w:sz w:val="16"/>
      <w:szCs w:val="16"/>
    </w:rPr>
  </w:style>
  <w:style w:type="paragraph" w:styleId="Caption">
    <w:name w:val="caption"/>
    <w:basedOn w:val="Normal"/>
    <w:next w:val="Normal"/>
    <w:uiPriority w:val="35"/>
    <w:semiHidden/>
    <w:unhideWhenUsed/>
    <w:qFormat/>
    <w:rsid w:val="003663AA"/>
    <w:pPr>
      <w:spacing w:after="200" w:line="240" w:lineRule="auto"/>
    </w:pPr>
    <w:rPr>
      <w:i/>
      <w:iCs/>
      <w:color w:val="0E2841" w:themeColor="text2"/>
      <w:sz w:val="18"/>
      <w:szCs w:val="18"/>
    </w:rPr>
  </w:style>
  <w:style w:type="paragraph" w:styleId="Closing">
    <w:name w:val="Closing"/>
    <w:basedOn w:val="Normal"/>
    <w:link w:val="ClosingChar"/>
    <w:uiPriority w:val="99"/>
    <w:semiHidden/>
    <w:unhideWhenUsed/>
    <w:rsid w:val="003663AA"/>
    <w:pPr>
      <w:spacing w:after="0" w:line="240" w:lineRule="auto"/>
      <w:ind w:left="4320"/>
    </w:pPr>
  </w:style>
  <w:style w:type="character" w:customStyle="1" w:styleId="ClosingChar">
    <w:name w:val="Closing Char"/>
    <w:basedOn w:val="DefaultParagraphFont"/>
    <w:link w:val="Closing"/>
    <w:uiPriority w:val="99"/>
    <w:semiHidden/>
    <w:rsid w:val="003663AA"/>
  </w:style>
  <w:style w:type="paragraph" w:styleId="Date">
    <w:name w:val="Date"/>
    <w:basedOn w:val="Normal"/>
    <w:next w:val="Normal"/>
    <w:link w:val="DateChar"/>
    <w:uiPriority w:val="99"/>
    <w:semiHidden/>
    <w:unhideWhenUsed/>
    <w:rsid w:val="003663AA"/>
  </w:style>
  <w:style w:type="character" w:customStyle="1" w:styleId="DateChar">
    <w:name w:val="Date Char"/>
    <w:basedOn w:val="DefaultParagraphFont"/>
    <w:link w:val="Date"/>
    <w:uiPriority w:val="99"/>
    <w:semiHidden/>
    <w:rsid w:val="003663AA"/>
  </w:style>
  <w:style w:type="paragraph" w:styleId="DocumentMap">
    <w:name w:val="Document Map"/>
    <w:basedOn w:val="Normal"/>
    <w:link w:val="DocumentMapChar"/>
    <w:uiPriority w:val="99"/>
    <w:semiHidden/>
    <w:unhideWhenUsed/>
    <w:rsid w:val="003663A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663AA"/>
    <w:rPr>
      <w:rFonts w:ascii="Segoe UI" w:hAnsi="Segoe UI" w:cs="Segoe UI"/>
      <w:sz w:val="16"/>
      <w:szCs w:val="16"/>
    </w:rPr>
  </w:style>
  <w:style w:type="paragraph" w:styleId="E-mailSignature">
    <w:name w:val="E-mail Signature"/>
    <w:basedOn w:val="Normal"/>
    <w:link w:val="E-mailSignatureChar"/>
    <w:uiPriority w:val="99"/>
    <w:semiHidden/>
    <w:unhideWhenUsed/>
    <w:rsid w:val="003663AA"/>
    <w:pPr>
      <w:spacing w:after="0" w:line="240" w:lineRule="auto"/>
    </w:pPr>
  </w:style>
  <w:style w:type="character" w:customStyle="1" w:styleId="E-mailSignatureChar">
    <w:name w:val="E-mail Signature Char"/>
    <w:basedOn w:val="DefaultParagraphFont"/>
    <w:link w:val="E-mailSignature"/>
    <w:uiPriority w:val="99"/>
    <w:semiHidden/>
    <w:rsid w:val="003663AA"/>
  </w:style>
  <w:style w:type="paragraph" w:styleId="EnvelopeAddress">
    <w:name w:val="envelope address"/>
    <w:basedOn w:val="Normal"/>
    <w:uiPriority w:val="99"/>
    <w:semiHidden/>
    <w:unhideWhenUsed/>
    <w:rsid w:val="003663AA"/>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3663AA"/>
    <w:pPr>
      <w:spacing w:after="0" w:line="240" w:lineRule="auto"/>
    </w:pPr>
    <w:rPr>
      <w:rFonts w:asciiTheme="majorHAnsi" w:eastAsiaTheme="majorEastAsia" w:hAnsiTheme="majorHAnsi" w:cstheme="majorBidi"/>
      <w:sz w:val="20"/>
      <w:szCs w:val="20"/>
    </w:rPr>
  </w:style>
  <w:style w:type="character" w:customStyle="1" w:styleId="Heading6Char">
    <w:name w:val="Heading 6 Char"/>
    <w:basedOn w:val="DefaultParagraphFont"/>
    <w:link w:val="Heading6"/>
    <w:uiPriority w:val="9"/>
    <w:semiHidden/>
    <w:rsid w:val="003663AA"/>
    <w:rPr>
      <w:rFonts w:asciiTheme="majorHAnsi" w:eastAsiaTheme="majorEastAsia" w:hAnsiTheme="majorHAnsi" w:cstheme="majorBidi"/>
      <w:color w:val="0A2F40" w:themeColor="accent1" w:themeShade="7F"/>
    </w:rPr>
  </w:style>
  <w:style w:type="character" w:customStyle="1" w:styleId="Heading7Char">
    <w:name w:val="Heading 7 Char"/>
    <w:basedOn w:val="DefaultParagraphFont"/>
    <w:link w:val="Heading7"/>
    <w:uiPriority w:val="9"/>
    <w:semiHidden/>
    <w:rsid w:val="003663AA"/>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semiHidden/>
    <w:rsid w:val="003663A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663AA"/>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3663AA"/>
    <w:pPr>
      <w:spacing w:after="0" w:line="240" w:lineRule="auto"/>
    </w:pPr>
    <w:rPr>
      <w:i/>
      <w:iCs/>
    </w:rPr>
  </w:style>
  <w:style w:type="character" w:customStyle="1" w:styleId="HTMLAddressChar">
    <w:name w:val="HTML Address Char"/>
    <w:basedOn w:val="DefaultParagraphFont"/>
    <w:link w:val="HTMLAddress"/>
    <w:uiPriority w:val="99"/>
    <w:semiHidden/>
    <w:rsid w:val="003663AA"/>
    <w:rPr>
      <w:i/>
      <w:iCs/>
    </w:rPr>
  </w:style>
  <w:style w:type="paragraph" w:styleId="HTMLPreformatted">
    <w:name w:val="HTML Preformatted"/>
    <w:basedOn w:val="Normal"/>
    <w:link w:val="HTMLPreformattedChar"/>
    <w:uiPriority w:val="99"/>
    <w:semiHidden/>
    <w:unhideWhenUsed/>
    <w:rsid w:val="003663A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663AA"/>
    <w:rPr>
      <w:rFonts w:ascii="Consolas" w:hAnsi="Consolas"/>
      <w:sz w:val="20"/>
      <w:szCs w:val="20"/>
    </w:rPr>
  </w:style>
  <w:style w:type="paragraph" w:styleId="Index1">
    <w:name w:val="index 1"/>
    <w:basedOn w:val="Normal"/>
    <w:next w:val="Normal"/>
    <w:autoRedefine/>
    <w:uiPriority w:val="99"/>
    <w:semiHidden/>
    <w:unhideWhenUsed/>
    <w:rsid w:val="003663AA"/>
    <w:pPr>
      <w:spacing w:after="0" w:line="240" w:lineRule="auto"/>
      <w:ind w:left="240" w:hanging="240"/>
    </w:pPr>
  </w:style>
  <w:style w:type="paragraph" w:styleId="Index2">
    <w:name w:val="index 2"/>
    <w:basedOn w:val="Normal"/>
    <w:next w:val="Normal"/>
    <w:autoRedefine/>
    <w:uiPriority w:val="99"/>
    <w:semiHidden/>
    <w:unhideWhenUsed/>
    <w:rsid w:val="003663AA"/>
    <w:pPr>
      <w:spacing w:after="0" w:line="240" w:lineRule="auto"/>
      <w:ind w:left="480" w:hanging="240"/>
    </w:pPr>
  </w:style>
  <w:style w:type="paragraph" w:styleId="Index3">
    <w:name w:val="index 3"/>
    <w:basedOn w:val="Normal"/>
    <w:next w:val="Normal"/>
    <w:autoRedefine/>
    <w:uiPriority w:val="99"/>
    <w:semiHidden/>
    <w:unhideWhenUsed/>
    <w:rsid w:val="003663AA"/>
    <w:pPr>
      <w:spacing w:after="0" w:line="240" w:lineRule="auto"/>
      <w:ind w:left="720" w:hanging="240"/>
    </w:pPr>
  </w:style>
  <w:style w:type="paragraph" w:styleId="Index4">
    <w:name w:val="index 4"/>
    <w:basedOn w:val="Normal"/>
    <w:next w:val="Normal"/>
    <w:autoRedefine/>
    <w:uiPriority w:val="99"/>
    <w:semiHidden/>
    <w:unhideWhenUsed/>
    <w:rsid w:val="003663AA"/>
    <w:pPr>
      <w:spacing w:after="0" w:line="240" w:lineRule="auto"/>
      <w:ind w:left="960" w:hanging="240"/>
    </w:pPr>
  </w:style>
  <w:style w:type="paragraph" w:styleId="Index5">
    <w:name w:val="index 5"/>
    <w:basedOn w:val="Normal"/>
    <w:next w:val="Normal"/>
    <w:autoRedefine/>
    <w:uiPriority w:val="99"/>
    <w:semiHidden/>
    <w:unhideWhenUsed/>
    <w:rsid w:val="003663AA"/>
    <w:pPr>
      <w:spacing w:after="0" w:line="240" w:lineRule="auto"/>
      <w:ind w:left="1200" w:hanging="240"/>
    </w:pPr>
  </w:style>
  <w:style w:type="paragraph" w:styleId="Index6">
    <w:name w:val="index 6"/>
    <w:basedOn w:val="Normal"/>
    <w:next w:val="Normal"/>
    <w:autoRedefine/>
    <w:uiPriority w:val="99"/>
    <w:semiHidden/>
    <w:unhideWhenUsed/>
    <w:rsid w:val="003663AA"/>
    <w:pPr>
      <w:spacing w:after="0" w:line="240" w:lineRule="auto"/>
      <w:ind w:left="1440" w:hanging="240"/>
    </w:pPr>
  </w:style>
  <w:style w:type="paragraph" w:styleId="Index7">
    <w:name w:val="index 7"/>
    <w:basedOn w:val="Normal"/>
    <w:next w:val="Normal"/>
    <w:autoRedefine/>
    <w:uiPriority w:val="99"/>
    <w:semiHidden/>
    <w:unhideWhenUsed/>
    <w:rsid w:val="003663AA"/>
    <w:pPr>
      <w:spacing w:after="0" w:line="240" w:lineRule="auto"/>
      <w:ind w:left="1680" w:hanging="240"/>
    </w:pPr>
  </w:style>
  <w:style w:type="paragraph" w:styleId="Index8">
    <w:name w:val="index 8"/>
    <w:basedOn w:val="Normal"/>
    <w:next w:val="Normal"/>
    <w:autoRedefine/>
    <w:uiPriority w:val="99"/>
    <w:semiHidden/>
    <w:unhideWhenUsed/>
    <w:rsid w:val="003663AA"/>
    <w:pPr>
      <w:spacing w:after="0" w:line="240" w:lineRule="auto"/>
      <w:ind w:left="1920" w:hanging="240"/>
    </w:pPr>
  </w:style>
  <w:style w:type="paragraph" w:styleId="Index9">
    <w:name w:val="index 9"/>
    <w:basedOn w:val="Normal"/>
    <w:next w:val="Normal"/>
    <w:autoRedefine/>
    <w:uiPriority w:val="99"/>
    <w:semiHidden/>
    <w:unhideWhenUsed/>
    <w:rsid w:val="003663AA"/>
    <w:pPr>
      <w:spacing w:after="0" w:line="240" w:lineRule="auto"/>
      <w:ind w:left="2160" w:hanging="240"/>
    </w:pPr>
  </w:style>
  <w:style w:type="paragraph" w:styleId="IndexHeading">
    <w:name w:val="index heading"/>
    <w:basedOn w:val="Normal"/>
    <w:next w:val="Index1"/>
    <w:uiPriority w:val="99"/>
    <w:semiHidden/>
    <w:unhideWhenUsed/>
    <w:rsid w:val="003663A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663AA"/>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3663AA"/>
    <w:rPr>
      <w:i/>
      <w:iCs/>
      <w:color w:val="156082" w:themeColor="accent1"/>
    </w:rPr>
  </w:style>
  <w:style w:type="paragraph" w:styleId="List">
    <w:name w:val="List"/>
    <w:basedOn w:val="Normal"/>
    <w:uiPriority w:val="99"/>
    <w:semiHidden/>
    <w:unhideWhenUsed/>
    <w:rsid w:val="003663AA"/>
    <w:pPr>
      <w:ind w:left="360" w:hanging="360"/>
      <w:contextualSpacing/>
    </w:pPr>
  </w:style>
  <w:style w:type="paragraph" w:styleId="List2">
    <w:name w:val="List 2"/>
    <w:basedOn w:val="Normal"/>
    <w:uiPriority w:val="99"/>
    <w:semiHidden/>
    <w:unhideWhenUsed/>
    <w:rsid w:val="003663AA"/>
    <w:pPr>
      <w:ind w:left="720" w:hanging="360"/>
      <w:contextualSpacing/>
    </w:pPr>
  </w:style>
  <w:style w:type="paragraph" w:styleId="List3">
    <w:name w:val="List 3"/>
    <w:basedOn w:val="Normal"/>
    <w:uiPriority w:val="99"/>
    <w:semiHidden/>
    <w:unhideWhenUsed/>
    <w:rsid w:val="003663AA"/>
    <w:pPr>
      <w:ind w:left="1080" w:hanging="360"/>
      <w:contextualSpacing/>
    </w:pPr>
  </w:style>
  <w:style w:type="paragraph" w:styleId="List4">
    <w:name w:val="List 4"/>
    <w:basedOn w:val="Normal"/>
    <w:uiPriority w:val="99"/>
    <w:semiHidden/>
    <w:unhideWhenUsed/>
    <w:rsid w:val="003663AA"/>
    <w:pPr>
      <w:ind w:left="1440" w:hanging="360"/>
      <w:contextualSpacing/>
    </w:pPr>
  </w:style>
  <w:style w:type="paragraph" w:styleId="List5">
    <w:name w:val="List 5"/>
    <w:basedOn w:val="Normal"/>
    <w:uiPriority w:val="99"/>
    <w:semiHidden/>
    <w:unhideWhenUsed/>
    <w:rsid w:val="003663AA"/>
    <w:pPr>
      <w:ind w:left="1800" w:hanging="360"/>
      <w:contextualSpacing/>
    </w:pPr>
  </w:style>
  <w:style w:type="paragraph" w:styleId="ListBullet">
    <w:name w:val="List Bullet"/>
    <w:basedOn w:val="Normal"/>
    <w:uiPriority w:val="99"/>
    <w:semiHidden/>
    <w:unhideWhenUsed/>
    <w:rsid w:val="003663AA"/>
    <w:pPr>
      <w:numPr>
        <w:numId w:val="37"/>
      </w:numPr>
      <w:contextualSpacing/>
    </w:pPr>
  </w:style>
  <w:style w:type="paragraph" w:styleId="ListBullet2">
    <w:name w:val="List Bullet 2"/>
    <w:basedOn w:val="Normal"/>
    <w:uiPriority w:val="99"/>
    <w:semiHidden/>
    <w:unhideWhenUsed/>
    <w:rsid w:val="003663AA"/>
    <w:pPr>
      <w:numPr>
        <w:numId w:val="38"/>
      </w:numPr>
      <w:contextualSpacing/>
    </w:pPr>
  </w:style>
  <w:style w:type="paragraph" w:styleId="ListBullet3">
    <w:name w:val="List Bullet 3"/>
    <w:basedOn w:val="Normal"/>
    <w:uiPriority w:val="99"/>
    <w:semiHidden/>
    <w:unhideWhenUsed/>
    <w:rsid w:val="003663AA"/>
    <w:pPr>
      <w:numPr>
        <w:numId w:val="39"/>
      </w:numPr>
      <w:contextualSpacing/>
    </w:pPr>
  </w:style>
  <w:style w:type="paragraph" w:styleId="ListBullet4">
    <w:name w:val="List Bullet 4"/>
    <w:basedOn w:val="Normal"/>
    <w:uiPriority w:val="99"/>
    <w:semiHidden/>
    <w:unhideWhenUsed/>
    <w:rsid w:val="003663AA"/>
    <w:pPr>
      <w:numPr>
        <w:numId w:val="40"/>
      </w:numPr>
      <w:contextualSpacing/>
    </w:pPr>
  </w:style>
  <w:style w:type="paragraph" w:styleId="ListBullet5">
    <w:name w:val="List Bullet 5"/>
    <w:basedOn w:val="Normal"/>
    <w:uiPriority w:val="99"/>
    <w:semiHidden/>
    <w:unhideWhenUsed/>
    <w:rsid w:val="003663AA"/>
    <w:pPr>
      <w:numPr>
        <w:numId w:val="41"/>
      </w:numPr>
      <w:contextualSpacing/>
    </w:pPr>
  </w:style>
  <w:style w:type="paragraph" w:styleId="ListContinue">
    <w:name w:val="List Continue"/>
    <w:basedOn w:val="Normal"/>
    <w:uiPriority w:val="99"/>
    <w:semiHidden/>
    <w:unhideWhenUsed/>
    <w:rsid w:val="003663AA"/>
    <w:pPr>
      <w:spacing w:after="120"/>
      <w:ind w:left="360"/>
      <w:contextualSpacing/>
    </w:pPr>
  </w:style>
  <w:style w:type="paragraph" w:styleId="ListContinue2">
    <w:name w:val="List Continue 2"/>
    <w:basedOn w:val="Normal"/>
    <w:uiPriority w:val="99"/>
    <w:semiHidden/>
    <w:unhideWhenUsed/>
    <w:rsid w:val="003663AA"/>
    <w:pPr>
      <w:spacing w:after="120"/>
      <w:ind w:left="720"/>
      <w:contextualSpacing/>
    </w:pPr>
  </w:style>
  <w:style w:type="paragraph" w:styleId="ListContinue3">
    <w:name w:val="List Continue 3"/>
    <w:basedOn w:val="Normal"/>
    <w:uiPriority w:val="99"/>
    <w:semiHidden/>
    <w:unhideWhenUsed/>
    <w:rsid w:val="003663AA"/>
    <w:pPr>
      <w:spacing w:after="120"/>
      <w:ind w:left="1080"/>
      <w:contextualSpacing/>
    </w:pPr>
  </w:style>
  <w:style w:type="paragraph" w:styleId="ListContinue4">
    <w:name w:val="List Continue 4"/>
    <w:basedOn w:val="Normal"/>
    <w:uiPriority w:val="99"/>
    <w:semiHidden/>
    <w:unhideWhenUsed/>
    <w:rsid w:val="003663AA"/>
    <w:pPr>
      <w:spacing w:after="120"/>
      <w:ind w:left="1440"/>
      <w:contextualSpacing/>
    </w:pPr>
  </w:style>
  <w:style w:type="paragraph" w:styleId="ListContinue5">
    <w:name w:val="List Continue 5"/>
    <w:basedOn w:val="Normal"/>
    <w:uiPriority w:val="99"/>
    <w:semiHidden/>
    <w:unhideWhenUsed/>
    <w:rsid w:val="003663AA"/>
    <w:pPr>
      <w:spacing w:after="120"/>
      <w:ind w:left="1800"/>
      <w:contextualSpacing/>
    </w:pPr>
  </w:style>
  <w:style w:type="paragraph" w:styleId="ListNumber">
    <w:name w:val="List Number"/>
    <w:basedOn w:val="Normal"/>
    <w:uiPriority w:val="99"/>
    <w:semiHidden/>
    <w:unhideWhenUsed/>
    <w:rsid w:val="003663AA"/>
    <w:pPr>
      <w:numPr>
        <w:numId w:val="42"/>
      </w:numPr>
      <w:contextualSpacing/>
    </w:pPr>
  </w:style>
  <w:style w:type="paragraph" w:styleId="ListNumber2">
    <w:name w:val="List Number 2"/>
    <w:basedOn w:val="Normal"/>
    <w:uiPriority w:val="99"/>
    <w:semiHidden/>
    <w:unhideWhenUsed/>
    <w:rsid w:val="003663AA"/>
    <w:pPr>
      <w:numPr>
        <w:numId w:val="43"/>
      </w:numPr>
      <w:contextualSpacing/>
    </w:pPr>
  </w:style>
  <w:style w:type="paragraph" w:styleId="ListNumber3">
    <w:name w:val="List Number 3"/>
    <w:basedOn w:val="Normal"/>
    <w:uiPriority w:val="99"/>
    <w:semiHidden/>
    <w:unhideWhenUsed/>
    <w:rsid w:val="003663AA"/>
    <w:pPr>
      <w:numPr>
        <w:numId w:val="44"/>
      </w:numPr>
      <w:contextualSpacing/>
    </w:pPr>
  </w:style>
  <w:style w:type="paragraph" w:styleId="ListNumber4">
    <w:name w:val="List Number 4"/>
    <w:basedOn w:val="Normal"/>
    <w:uiPriority w:val="99"/>
    <w:semiHidden/>
    <w:unhideWhenUsed/>
    <w:rsid w:val="003663AA"/>
    <w:pPr>
      <w:numPr>
        <w:numId w:val="45"/>
      </w:numPr>
      <w:contextualSpacing/>
    </w:pPr>
  </w:style>
  <w:style w:type="paragraph" w:styleId="ListNumber5">
    <w:name w:val="List Number 5"/>
    <w:basedOn w:val="Normal"/>
    <w:uiPriority w:val="99"/>
    <w:semiHidden/>
    <w:unhideWhenUsed/>
    <w:rsid w:val="003663AA"/>
    <w:pPr>
      <w:numPr>
        <w:numId w:val="46"/>
      </w:numPr>
      <w:contextualSpacing/>
    </w:pPr>
  </w:style>
  <w:style w:type="paragraph" w:styleId="MacroText">
    <w:name w:val="macro"/>
    <w:link w:val="MacroTextChar"/>
    <w:uiPriority w:val="99"/>
    <w:semiHidden/>
    <w:unhideWhenUsed/>
    <w:rsid w:val="003663A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3663AA"/>
    <w:rPr>
      <w:rFonts w:ascii="Consolas" w:hAnsi="Consolas"/>
      <w:sz w:val="20"/>
      <w:szCs w:val="20"/>
    </w:rPr>
  </w:style>
  <w:style w:type="paragraph" w:styleId="MessageHeader">
    <w:name w:val="Message Header"/>
    <w:basedOn w:val="Normal"/>
    <w:link w:val="MessageHeaderChar"/>
    <w:uiPriority w:val="99"/>
    <w:semiHidden/>
    <w:unhideWhenUsed/>
    <w:rsid w:val="003663A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3663AA"/>
    <w:rPr>
      <w:rFonts w:asciiTheme="majorHAnsi" w:eastAsiaTheme="majorEastAsia" w:hAnsiTheme="majorHAnsi" w:cstheme="majorBidi"/>
      <w:shd w:val="pct20" w:color="auto" w:fill="auto"/>
    </w:rPr>
  </w:style>
  <w:style w:type="paragraph" w:styleId="NoSpacing">
    <w:name w:val="No Spacing"/>
    <w:uiPriority w:val="1"/>
    <w:qFormat/>
    <w:rsid w:val="003663AA"/>
    <w:pPr>
      <w:spacing w:after="0" w:line="240" w:lineRule="auto"/>
    </w:pPr>
  </w:style>
  <w:style w:type="paragraph" w:styleId="NormalWeb">
    <w:name w:val="Normal (Web)"/>
    <w:basedOn w:val="Normal"/>
    <w:uiPriority w:val="99"/>
    <w:semiHidden/>
    <w:unhideWhenUsed/>
    <w:rsid w:val="003663AA"/>
    <w:rPr>
      <w:rFonts w:ascii="Times New Roman" w:hAnsi="Times New Roman" w:cs="Times New Roman"/>
    </w:rPr>
  </w:style>
  <w:style w:type="paragraph" w:styleId="NormalIndent">
    <w:name w:val="Normal Indent"/>
    <w:basedOn w:val="Normal"/>
    <w:uiPriority w:val="99"/>
    <w:semiHidden/>
    <w:unhideWhenUsed/>
    <w:rsid w:val="003663AA"/>
    <w:pPr>
      <w:ind w:left="720"/>
    </w:pPr>
  </w:style>
  <w:style w:type="paragraph" w:styleId="NoteHeading">
    <w:name w:val="Note Heading"/>
    <w:basedOn w:val="Normal"/>
    <w:next w:val="Normal"/>
    <w:link w:val="NoteHeadingChar"/>
    <w:uiPriority w:val="99"/>
    <w:semiHidden/>
    <w:unhideWhenUsed/>
    <w:rsid w:val="003663AA"/>
    <w:pPr>
      <w:spacing w:after="0" w:line="240" w:lineRule="auto"/>
    </w:pPr>
  </w:style>
  <w:style w:type="character" w:customStyle="1" w:styleId="NoteHeadingChar">
    <w:name w:val="Note Heading Char"/>
    <w:basedOn w:val="DefaultParagraphFont"/>
    <w:link w:val="NoteHeading"/>
    <w:uiPriority w:val="99"/>
    <w:semiHidden/>
    <w:rsid w:val="003663AA"/>
  </w:style>
  <w:style w:type="paragraph" w:styleId="PlainText">
    <w:name w:val="Plain Text"/>
    <w:basedOn w:val="Normal"/>
    <w:link w:val="PlainTextChar"/>
    <w:uiPriority w:val="99"/>
    <w:semiHidden/>
    <w:unhideWhenUsed/>
    <w:rsid w:val="003663A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663AA"/>
    <w:rPr>
      <w:rFonts w:ascii="Consolas" w:hAnsi="Consolas"/>
      <w:sz w:val="21"/>
      <w:szCs w:val="21"/>
    </w:rPr>
  </w:style>
  <w:style w:type="paragraph" w:styleId="Quote">
    <w:name w:val="Quote"/>
    <w:basedOn w:val="Normal"/>
    <w:next w:val="Normal"/>
    <w:link w:val="QuoteChar"/>
    <w:uiPriority w:val="29"/>
    <w:qFormat/>
    <w:rsid w:val="003663A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663AA"/>
    <w:rPr>
      <w:i/>
      <w:iCs/>
      <w:color w:val="404040" w:themeColor="text1" w:themeTint="BF"/>
    </w:rPr>
  </w:style>
  <w:style w:type="paragraph" w:styleId="Salutation">
    <w:name w:val="Salutation"/>
    <w:basedOn w:val="Normal"/>
    <w:next w:val="Normal"/>
    <w:link w:val="SalutationChar"/>
    <w:uiPriority w:val="99"/>
    <w:semiHidden/>
    <w:unhideWhenUsed/>
    <w:rsid w:val="003663AA"/>
  </w:style>
  <w:style w:type="character" w:customStyle="1" w:styleId="SalutationChar">
    <w:name w:val="Salutation Char"/>
    <w:basedOn w:val="DefaultParagraphFont"/>
    <w:link w:val="Salutation"/>
    <w:uiPriority w:val="99"/>
    <w:semiHidden/>
    <w:rsid w:val="003663AA"/>
  </w:style>
  <w:style w:type="paragraph" w:styleId="Signature">
    <w:name w:val="Signature"/>
    <w:basedOn w:val="Normal"/>
    <w:link w:val="SignatureChar"/>
    <w:uiPriority w:val="99"/>
    <w:semiHidden/>
    <w:unhideWhenUsed/>
    <w:rsid w:val="003663AA"/>
    <w:pPr>
      <w:spacing w:after="0" w:line="240" w:lineRule="auto"/>
      <w:ind w:left="4320"/>
    </w:pPr>
  </w:style>
  <w:style w:type="character" w:customStyle="1" w:styleId="SignatureChar">
    <w:name w:val="Signature Char"/>
    <w:basedOn w:val="DefaultParagraphFont"/>
    <w:link w:val="Signature"/>
    <w:uiPriority w:val="99"/>
    <w:semiHidden/>
    <w:rsid w:val="003663AA"/>
  </w:style>
  <w:style w:type="paragraph" w:styleId="Subtitle">
    <w:name w:val="Subtitle"/>
    <w:basedOn w:val="Normal"/>
    <w:next w:val="Normal"/>
    <w:link w:val="SubtitleChar"/>
    <w:uiPriority w:val="11"/>
    <w:qFormat/>
    <w:rsid w:val="003663AA"/>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11"/>
    <w:rsid w:val="003663AA"/>
    <w:rPr>
      <w:color w:val="5A5A5A" w:themeColor="text1" w:themeTint="A5"/>
      <w:spacing w:val="15"/>
      <w:sz w:val="22"/>
      <w:szCs w:val="22"/>
    </w:rPr>
  </w:style>
  <w:style w:type="paragraph" w:styleId="TableofAuthorities">
    <w:name w:val="table of authorities"/>
    <w:basedOn w:val="Normal"/>
    <w:next w:val="Normal"/>
    <w:uiPriority w:val="99"/>
    <w:semiHidden/>
    <w:unhideWhenUsed/>
    <w:rsid w:val="003663AA"/>
    <w:pPr>
      <w:spacing w:after="0"/>
      <w:ind w:left="240" w:hanging="240"/>
    </w:pPr>
  </w:style>
  <w:style w:type="paragraph" w:styleId="TableofFigures">
    <w:name w:val="table of figures"/>
    <w:basedOn w:val="Normal"/>
    <w:next w:val="Normal"/>
    <w:uiPriority w:val="99"/>
    <w:semiHidden/>
    <w:unhideWhenUsed/>
    <w:rsid w:val="003663AA"/>
    <w:pPr>
      <w:spacing w:after="0"/>
    </w:pPr>
  </w:style>
  <w:style w:type="paragraph" w:styleId="TOAHeading">
    <w:name w:val="toa heading"/>
    <w:basedOn w:val="Normal"/>
    <w:next w:val="Normal"/>
    <w:uiPriority w:val="99"/>
    <w:semiHidden/>
    <w:unhideWhenUsed/>
    <w:rsid w:val="003663AA"/>
    <w:pPr>
      <w:spacing w:before="12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3663AA"/>
    <w:pPr>
      <w:spacing w:after="100"/>
      <w:ind w:left="720"/>
    </w:pPr>
  </w:style>
  <w:style w:type="paragraph" w:styleId="TOC5">
    <w:name w:val="toc 5"/>
    <w:basedOn w:val="Normal"/>
    <w:next w:val="Normal"/>
    <w:autoRedefine/>
    <w:uiPriority w:val="39"/>
    <w:semiHidden/>
    <w:unhideWhenUsed/>
    <w:rsid w:val="003663AA"/>
    <w:pPr>
      <w:spacing w:after="100"/>
      <w:ind w:left="960"/>
    </w:pPr>
  </w:style>
  <w:style w:type="paragraph" w:styleId="TOC6">
    <w:name w:val="toc 6"/>
    <w:basedOn w:val="Normal"/>
    <w:next w:val="Normal"/>
    <w:autoRedefine/>
    <w:uiPriority w:val="39"/>
    <w:semiHidden/>
    <w:unhideWhenUsed/>
    <w:rsid w:val="003663AA"/>
    <w:pPr>
      <w:spacing w:after="100"/>
      <w:ind w:left="1200"/>
    </w:pPr>
  </w:style>
  <w:style w:type="paragraph" w:styleId="TOC7">
    <w:name w:val="toc 7"/>
    <w:basedOn w:val="Normal"/>
    <w:next w:val="Normal"/>
    <w:autoRedefine/>
    <w:uiPriority w:val="39"/>
    <w:semiHidden/>
    <w:unhideWhenUsed/>
    <w:rsid w:val="003663AA"/>
    <w:pPr>
      <w:spacing w:after="100"/>
      <w:ind w:left="1440"/>
    </w:pPr>
  </w:style>
  <w:style w:type="paragraph" w:styleId="TOC8">
    <w:name w:val="toc 8"/>
    <w:basedOn w:val="Normal"/>
    <w:next w:val="Normal"/>
    <w:autoRedefine/>
    <w:uiPriority w:val="39"/>
    <w:semiHidden/>
    <w:unhideWhenUsed/>
    <w:rsid w:val="003663AA"/>
    <w:pPr>
      <w:spacing w:after="100"/>
      <w:ind w:left="1680"/>
    </w:pPr>
  </w:style>
  <w:style w:type="paragraph" w:styleId="TOC9">
    <w:name w:val="toc 9"/>
    <w:basedOn w:val="Normal"/>
    <w:next w:val="Normal"/>
    <w:autoRedefine/>
    <w:uiPriority w:val="39"/>
    <w:semiHidden/>
    <w:unhideWhenUsed/>
    <w:rsid w:val="003663AA"/>
    <w:pPr>
      <w:spacing w:after="100"/>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microsoft.com/office/2016/09/relationships/commentsIds" Target="commentsIds.xml"/><Relationship Id="rId26" Type="http://schemas.openxmlformats.org/officeDocument/2006/relationships/hyperlink" Target="https://www.cochranelibrary.com/cdsr/doi/10.1002/14651858.CD011940.pub3/full?highlightAbstract=glycemic%7Ccontrol%7Cglycem%7Cglycaemic%7Cglycaem%7Csurgery%7Csurgeri" TargetMode="External"/><Relationship Id="rId39" Type="http://schemas.openxmlformats.org/officeDocument/2006/relationships/hyperlink" Target="https://www.hsrd.research.va.gov/publications/esp/eras.cfm" TargetMode="External"/><Relationship Id="rId21" Type="http://schemas.openxmlformats.org/officeDocument/2006/relationships/hyperlink" Target="https://prapare.org/the-prapare-screening-tool/" TargetMode="External"/><Relationship Id="rId34" Type="http://schemas.openxmlformats.org/officeDocument/2006/relationships/hyperlink" Target="https://cpoc.org.uk/sites/cpoc/files/documents/2022-09/1.%20CPOC_GuidelinefortheManagementofAnaemia_September2022.pdf"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www.aafp.org/pubs/afp/issues/2000/0715/p387.html" TargetMode="External"/><Relationship Id="rId29" Type="http://schemas.openxmlformats.org/officeDocument/2006/relationships/hyperlink" Target="https://www.cochranelibrary.com/cdsr/doi/10.1002/14651858.CD013737.pub2/full?highlightAbstract=anaemia%7Canemia%7Canemi%7Csurgery%7Csurgeri" TargetMode="External"/><Relationship Id="rId41"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jw.org/en/medical-library/medical-information/clinical-strategies-avoid-blood-transfusion-2/abt/" TargetMode="External"/><Relationship Id="rId32" Type="http://schemas.openxmlformats.org/officeDocument/2006/relationships/hyperlink" Target="https://www.sts.org/sites/default/files/Guidelines/Patient%20Blood%20Management%20Guideline_Final.pdf" TargetMode="External"/><Relationship Id="rId37" Type="http://schemas.openxmlformats.org/officeDocument/2006/relationships/hyperlink" Target="https://www.bmj.com/content/347/bmj.f4822" TargetMode="External"/><Relationship Id="rId40"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diabetesjournals.org/care/issue/48/Supplement_1" TargetMode="External"/><Relationship Id="rId28" Type="http://schemas.openxmlformats.org/officeDocument/2006/relationships/hyperlink" Target="https://www.cochranelibrary.com/cdsr/doi/10.1002/14651858.CD012451.pub2/full?highlightAbstract=anaemia%7Canemia%7Canemi%7Csurgery%7Csurgeri" TargetMode="External"/><Relationship Id="rId36" Type="http://schemas.openxmlformats.org/officeDocument/2006/relationships/hyperlink" Target="https://www.hca.wa.gov/assets/program/cgm-final-findings-and-decision-2025.pdf" TargetMode="External"/><Relationship Id="rId10" Type="http://schemas.openxmlformats.org/officeDocument/2006/relationships/endnotes" Target="endnotes.xml"/><Relationship Id="rId19" Type="http://schemas.microsoft.com/office/2018/08/relationships/commentsExtensible" Target="commentsExtensible.xml"/><Relationship Id="rId31" Type="http://schemas.openxmlformats.org/officeDocument/2006/relationships/hyperlink" Target="https://journals.lww.com/anesthesiology/fulltext/2015/02000/practice_guidelines_for_perioperative_blood.12.aspx"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qualityhealth.sharepoint.com/Bree%20Collaborative/Topics/2025/Surgical%20Patient%20Optimization/0-Final-Guidelines/Diabetes%20Care,%20Vol.%2048,%20Supplement%201.%20American%20Diabetes%20Association,%202025.%20Retrieved%20from%20https:/diabetesjournals.org/care/issue/48/Supplement_1" TargetMode="External"/><Relationship Id="rId27" Type="http://schemas.openxmlformats.org/officeDocument/2006/relationships/hyperlink" Target="https://www.cochranelibrary.com/cdsr/doi/10.1002/14651858.CD011588.pub3/full?highlightAbstract=anaemia%7Canemia%7Canemi%7Csurgery%7Csurgeri" TargetMode="External"/><Relationship Id="rId30" Type="http://schemas.openxmlformats.org/officeDocument/2006/relationships/hyperlink" Target="https://www.cochranelibrary.com/cdsr/doi/10.1002/14651858.CD007148.pub2/full?highlightAbstract=anaemia%7Canemia%7Canemi%7Csurgery%7Csurgeri" TargetMode="External"/><Relationship Id="rId35" Type="http://schemas.openxmlformats.org/officeDocument/2006/relationships/hyperlink" Target="https://cpoc.org.uk/sites/cpoc/files/documents/2022-09/1.%20CPOC_GuidelinefortheManagementofAnaemia_September2022.pdf" TargetMode="External"/><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microsoft.com/office/2011/relationships/commentsExtended" Target="commentsExtended.xml"/><Relationship Id="rId25" Type="http://schemas.openxmlformats.org/officeDocument/2006/relationships/hyperlink" Target="https://www.cochranelibrary.com/cdsr/doi/10.1002/14651858.CD007315.pub3/full?highlightAbstract=glycemic%7Ccontrol%7Cglycem%7Cglycaemic%7Cglycaem%7Csurgery%7Csurgeri" TargetMode="External"/><Relationship Id="rId33" Type="http://schemas.openxmlformats.org/officeDocument/2006/relationships/hyperlink" Target="https://pmc.ncbi.nlm.nih.gov/articles/PMC9994846/" TargetMode="External"/><Relationship Id="rId38" Type="http://schemas.openxmlformats.org/officeDocument/2006/relationships/hyperlink" Target="https://www.bmj.com/content/352/bmj.i1351"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pmc.ncbi.nlm.nih.gov/articles/PMC9463729/" TargetMode="External"/><Relationship Id="rId2" Type="http://schemas.openxmlformats.org/officeDocument/2006/relationships/hyperlink" Target="https://doi.org/10.2337/dc24-2510" TargetMode="External"/><Relationship Id="rId1" Type="http://schemas.openxmlformats.org/officeDocument/2006/relationships/hyperlink" Target="https://www.uptodate.com/contents/perioperative-management-of-blood-glucose-in-adults-with-diabetes-mellitus?utm_source=chatgpt.com" TargetMode="External"/><Relationship Id="rId4" Type="http://schemas.openxmlformats.org/officeDocument/2006/relationships/hyperlink" Target="https://doi.org/10.2337/dc24-251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ptod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30c96ee6-c168-4e58-9503-bca1f305f3f9" xsi:nil="true"/>
    <lcf76f155ced4ddcb4097134ff3c332f xmlns="30c96ee6-c168-4e58-9503-bca1f305f3f9">
      <Terms xmlns="http://schemas.microsoft.com/office/infopath/2007/PartnerControls"/>
    </lcf76f155ced4ddcb4097134ff3c332f>
    <TaxCatchAll xmlns="f46ad185-d85d-425e-a013-e9b99bc40c0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E88708C326C3E4CADFCB833D741E62C" ma:contentTypeVersion="19" ma:contentTypeDescription="Create a new document." ma:contentTypeScope="" ma:versionID="4f078f575969957c2aee26103dfb227e">
  <xsd:schema xmlns:xsd="http://www.w3.org/2001/XMLSchema" xmlns:xs="http://www.w3.org/2001/XMLSchema" xmlns:p="http://schemas.microsoft.com/office/2006/metadata/properties" xmlns:ns2="30c96ee6-c168-4e58-9503-bca1f305f3f9" xmlns:ns3="f46ad185-d85d-425e-a013-e9b99bc40c0a" targetNamespace="http://schemas.microsoft.com/office/2006/metadata/properties" ma:root="true" ma:fieldsID="435d8cb6a12681040456e76bb4b36472" ns2:_="" ns3:_="">
    <xsd:import namespace="30c96ee6-c168-4e58-9503-bca1f305f3f9"/>
    <xsd:import namespace="f46ad185-d85d-425e-a013-e9b99bc40c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96ee6-c168-4e58-9503-bca1f305f3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6d3087-7421-4ee1-8c49-b3c8cbaf401e"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6ad185-d85d-425e-a013-e9b99bc40c0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e6735cc-23fa-4e5d-b651-fd23c1f97947}" ma:internalName="TaxCatchAll" ma:showField="CatchAllData" ma:web="f46ad185-d85d-425e-a013-e9b99bc40c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132611-AC89-4E92-B5A3-BCB7F15E1E41}">
  <ds:schemaRefs>
    <ds:schemaRef ds:uri="http://schemas.microsoft.com/office/2006/metadata/properties"/>
    <ds:schemaRef ds:uri="http://schemas.microsoft.com/office/infopath/2007/PartnerControls"/>
    <ds:schemaRef ds:uri="30c96ee6-c168-4e58-9503-bca1f305f3f9"/>
    <ds:schemaRef ds:uri="f46ad185-d85d-425e-a013-e9b99bc40c0a"/>
  </ds:schemaRefs>
</ds:datastoreItem>
</file>

<file path=customXml/itemProps2.xml><?xml version="1.0" encoding="utf-8"?>
<ds:datastoreItem xmlns:ds="http://schemas.openxmlformats.org/officeDocument/2006/customXml" ds:itemID="{6EA02779-7B47-45E8-9AAC-9588095D46B4}">
  <ds:schemaRefs>
    <ds:schemaRef ds:uri="http://schemas.openxmlformats.org/officeDocument/2006/bibliography"/>
  </ds:schemaRefs>
</ds:datastoreItem>
</file>

<file path=customXml/itemProps3.xml><?xml version="1.0" encoding="utf-8"?>
<ds:datastoreItem xmlns:ds="http://schemas.openxmlformats.org/officeDocument/2006/customXml" ds:itemID="{3FEADF69-FDCF-4246-8BA2-323052D37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96ee6-c168-4e58-9503-bca1f305f3f9"/>
    <ds:schemaRef ds:uri="f46ad185-d85d-425e-a013-e9b99bc40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E5A1CB-77D8-43DA-9FDD-7BD07E640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7899</Words>
  <Characters>47949</Characters>
  <Application>Microsoft Office Word</Application>
  <DocSecurity>0</DocSecurity>
  <Lines>3995</Lines>
  <Paragraphs>2659</Paragraphs>
  <ScaleCrop>false</ScaleCrop>
  <Company/>
  <LinksUpToDate>false</LinksUpToDate>
  <CharactersWithSpaces>53189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Bojkov</dc:creator>
  <cp:keywords/>
  <dc:description/>
  <cp:lastModifiedBy>Beth Bojkov</cp:lastModifiedBy>
  <cp:revision>2</cp:revision>
  <cp:lastPrinted>2025-09-17T18:19:00Z</cp:lastPrinted>
  <dcterms:created xsi:type="dcterms:W3CDTF">2025-10-28T19:34:00Z</dcterms:created>
  <dcterms:modified xsi:type="dcterms:W3CDTF">2025-10-28T19:34:00Z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0x010100EE88708C326C3E4CADFCB833D741E62C</vt:lpwstr>
  </property>
  <property fmtid="{D5CDD505-2E9C-101B-9397-08002B2CF9AE}" pid="3" name="MediaServiceImageTags">
    <vt:lpwstr/>
  </property>
  <property fmtid="{D5CDD505-2E9C-101B-9397-08002B2CF9AE}" pid="4" name="docLang">
    <vt:lpwstr>en</vt:lpwstr>
  </property>
</Properties>
</file>