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CBC52" w14:textId="4C5487EF" w:rsidR="00BE7E4D" w:rsidRDefault="006615D0" w:rsidP="006615D0">
      <w:pPr>
        <w:pStyle w:val="ListParagraph"/>
        <w:numPr>
          <w:ilvl w:val="0"/>
          <w:numId w:val="1"/>
        </w:numPr>
      </w:pPr>
      <w:r w:rsidRPr="006615D0">
        <w:t>Do you have general comments about the stakeholder guidelines?</w:t>
      </w:r>
    </w:p>
    <w:p w14:paraId="53D474F3" w14:textId="42AB4CCA" w:rsidR="001E389A" w:rsidRDefault="001E389A" w:rsidP="001E389A">
      <w:pPr>
        <w:pStyle w:val="ListParagraph"/>
        <w:numPr>
          <w:ilvl w:val="1"/>
          <w:numId w:val="1"/>
        </w:numPr>
      </w:pPr>
      <w:r>
        <w:t>Good to limit to only major procedures. There is considerable avoidable waste in perioperative testing in general in WA for more minor procedures with approximate 50% that could be avoided.  This guideline runs the risk of increased testing for minor procedures in addition to the major ones noted in the guideline</w:t>
      </w:r>
      <w:r w:rsidR="00594C90">
        <w:t>.</w:t>
      </w:r>
    </w:p>
    <w:p w14:paraId="0BCFC467" w14:textId="1C15A540" w:rsidR="001E389A" w:rsidRDefault="00585DF4" w:rsidP="00585DF4">
      <w:pPr>
        <w:pStyle w:val="ListParagraph"/>
        <w:numPr>
          <w:ilvl w:val="1"/>
          <w:numId w:val="1"/>
        </w:numPr>
      </w:pPr>
      <w:r w:rsidRPr="00585DF4">
        <w:t>These are essential topics in periop management of patients elevating this through the Bree Collaborative is wonderful.</w:t>
      </w:r>
      <w:r>
        <w:t> </w:t>
      </w:r>
    </w:p>
    <w:p w14:paraId="641FBAE7" w14:textId="5FA7BDC4" w:rsidR="00585DF4" w:rsidRDefault="00585DF4" w:rsidP="00585DF4">
      <w:pPr>
        <w:pStyle w:val="ListParagraph"/>
        <w:numPr>
          <w:ilvl w:val="1"/>
          <w:numId w:val="1"/>
        </w:numPr>
      </w:pPr>
      <w:r w:rsidRPr="00585DF4">
        <w:t xml:space="preserve">With an emphasis on preop management and risk stratification these become less effective-that space (Dr's offices) is not well managed or impacted by QI teams and you're much less likely to see impact.  While basic screening for diabetes is a good idea (and there are risk factors for that), our ability to risk stratify stress hyperglycemia in non-diabetics is bad.  The emerging evidence of non-DM patients having much worse outcomes than DM patients at the same glucose levels, the much larger pool of at risk non-DM patients and the benefit of insulin for more people points to a simpler solution for stress hyperglycemia, akin to the way we think about SSI.  Everyone is at risk for </w:t>
      </w:r>
      <w:proofErr w:type="gramStart"/>
      <w:r w:rsidRPr="00585DF4">
        <w:t>SSI,</w:t>
      </w:r>
      <w:proofErr w:type="gramEnd"/>
      <w:r w:rsidRPr="00585DF4">
        <w:t xml:space="preserve"> everyone gets antibiotics to prevent infection.  See below recommendations about guidelines.  </w:t>
      </w:r>
    </w:p>
    <w:p w14:paraId="34D7D1FC" w14:textId="5028E389" w:rsidR="00FB675F" w:rsidRPr="00FB675F" w:rsidRDefault="00FB675F" w:rsidP="00585DF4">
      <w:pPr>
        <w:pStyle w:val="ListParagraph"/>
        <w:numPr>
          <w:ilvl w:val="1"/>
          <w:numId w:val="1"/>
        </w:numPr>
        <w:rPr>
          <w:color w:val="538135" w:themeColor="accent6" w:themeShade="BF"/>
        </w:rPr>
      </w:pPr>
      <w:proofErr w:type="gramStart"/>
      <w:r w:rsidRPr="00FB675F">
        <w:rPr>
          <w:color w:val="538135" w:themeColor="accent6" w:themeShade="BF"/>
        </w:rPr>
        <w:t>Overall</w:t>
      </w:r>
      <w:proofErr w:type="gramEnd"/>
      <w:r w:rsidRPr="00FB675F">
        <w:rPr>
          <w:color w:val="538135" w:themeColor="accent6" w:themeShade="BF"/>
        </w:rPr>
        <w:t xml:space="preserve"> </w:t>
      </w:r>
      <w:proofErr w:type="gramStart"/>
      <w:r w:rsidRPr="00FB675F">
        <w:rPr>
          <w:color w:val="538135" w:themeColor="accent6" w:themeShade="BF"/>
        </w:rPr>
        <w:t>very</w:t>
      </w:r>
      <w:proofErr w:type="gramEnd"/>
      <w:r w:rsidRPr="00FB675F">
        <w:rPr>
          <w:color w:val="538135" w:themeColor="accent6" w:themeShade="BF"/>
        </w:rPr>
        <w:t xml:space="preserve"> satisfied with them. though for Iron infusion therapy that may be difficult to get access to for many in the community in a timely manner.</w:t>
      </w:r>
    </w:p>
    <w:p w14:paraId="44EAE2FD" w14:textId="2AF52517" w:rsidR="006615D0" w:rsidRDefault="006615D0" w:rsidP="006615D0">
      <w:pPr>
        <w:pStyle w:val="ListParagraph"/>
        <w:numPr>
          <w:ilvl w:val="0"/>
          <w:numId w:val="1"/>
        </w:numPr>
      </w:pPr>
      <w:r w:rsidRPr="006615D0">
        <w:t>Do you have feedback on the report's background and/or focus areas?</w:t>
      </w:r>
    </w:p>
    <w:p w14:paraId="00903263" w14:textId="08E90B5C" w:rsidR="00585DF4" w:rsidRDefault="00585DF4" w:rsidP="00585DF4">
      <w:pPr>
        <w:pStyle w:val="ListParagraph"/>
        <w:numPr>
          <w:ilvl w:val="1"/>
          <w:numId w:val="1"/>
        </w:numPr>
      </w:pPr>
      <w:r w:rsidRPr="00585DF4">
        <w:t>Not enough focus on high risk of hyperglycemia in non-DM patients</w:t>
      </w:r>
    </w:p>
    <w:p w14:paraId="2CD97B6D" w14:textId="4BF9C780" w:rsidR="006615D0" w:rsidRDefault="006615D0" w:rsidP="006615D0">
      <w:pPr>
        <w:pStyle w:val="ListParagraph"/>
        <w:numPr>
          <w:ilvl w:val="0"/>
          <w:numId w:val="1"/>
        </w:numPr>
      </w:pPr>
      <w:r w:rsidRPr="006615D0">
        <w:t>Do you have feedback for the guidelines for Preoperative Providers?</w:t>
      </w:r>
    </w:p>
    <w:p w14:paraId="060C2F18" w14:textId="241339F0" w:rsidR="001E389A" w:rsidRDefault="001E389A" w:rsidP="001E389A">
      <w:pPr>
        <w:pStyle w:val="ListParagraph"/>
        <w:numPr>
          <w:ilvl w:val="1"/>
          <w:numId w:val="1"/>
        </w:numPr>
      </w:pPr>
      <w:r w:rsidRPr="001E389A">
        <w:t>The guideline assumes entry is through a primary care physician or a provider who then refers to a surgeon.  The data shows approximately 35% of Washingtonians do not have a PCP relationship and may go straight to the surgeon.  It is unclear in my reading as to the surgeon role in maximizing glycemic control and anemia management other than in the immediate preoperative period</w:t>
      </w:r>
    </w:p>
    <w:p w14:paraId="21C1B949" w14:textId="2167596E" w:rsidR="00585DF4" w:rsidRDefault="00585DF4" w:rsidP="00585DF4">
      <w:pPr>
        <w:pStyle w:val="ListParagraph"/>
        <w:numPr>
          <w:ilvl w:val="1"/>
          <w:numId w:val="1"/>
        </w:numPr>
      </w:pPr>
      <w:r w:rsidRPr="00585DF4">
        <w:t>The algorithms are very helpful and are more digestible than the long paragraphs preceding them.</w:t>
      </w:r>
    </w:p>
    <w:p w14:paraId="32D397A5" w14:textId="62DC85A5" w:rsidR="00CA36BD" w:rsidRPr="00FB675F" w:rsidRDefault="00CA36BD" w:rsidP="00585DF4">
      <w:pPr>
        <w:pStyle w:val="ListParagraph"/>
        <w:numPr>
          <w:ilvl w:val="1"/>
          <w:numId w:val="1"/>
        </w:numPr>
        <w:rPr>
          <w:color w:val="538135" w:themeColor="accent6" w:themeShade="BF"/>
        </w:rPr>
      </w:pPr>
      <w:r w:rsidRPr="00FB675F">
        <w:rPr>
          <w:color w:val="538135" w:themeColor="accent6" w:themeShade="BF"/>
        </w:rPr>
        <w:t>Please indicate what is an acceptable timeframe between surgery and last A1C. Should an A1C be within 2 months of surgery? Some recommen</w:t>
      </w:r>
      <w:r w:rsidRPr="00FB675F">
        <w:rPr>
          <w:color w:val="538135" w:themeColor="accent6" w:themeShade="BF"/>
        </w:rPr>
        <w:t>d</w:t>
      </w:r>
      <w:r w:rsidRPr="00FB675F">
        <w:rPr>
          <w:color w:val="538135" w:themeColor="accent6" w:themeShade="BF"/>
        </w:rPr>
        <w:t>ations here would be great. thanks</w:t>
      </w:r>
    </w:p>
    <w:p w14:paraId="414DC740" w14:textId="28A32B2E" w:rsidR="006615D0" w:rsidRDefault="006615D0" w:rsidP="006615D0">
      <w:pPr>
        <w:pStyle w:val="ListParagraph"/>
        <w:numPr>
          <w:ilvl w:val="0"/>
          <w:numId w:val="1"/>
        </w:numPr>
      </w:pPr>
      <w:r w:rsidRPr="006615D0">
        <w:t>Do you have feedback for the guidelines for Surgery Teams?</w:t>
      </w:r>
    </w:p>
    <w:p w14:paraId="64B152C6" w14:textId="77777777" w:rsidR="00585DF4" w:rsidRDefault="00585DF4" w:rsidP="00585DF4">
      <w:pPr>
        <w:pStyle w:val="ListParagraph"/>
        <w:numPr>
          <w:ilvl w:val="1"/>
          <w:numId w:val="1"/>
        </w:numPr>
      </w:pPr>
      <w:r>
        <w:t xml:space="preserve">"A more effective and simpler recommendation would </w:t>
      </w:r>
      <w:proofErr w:type="gramStart"/>
      <w:r>
        <w:t>be;</w:t>
      </w:r>
      <w:proofErr w:type="gramEnd"/>
    </w:p>
    <w:p w14:paraId="01C1655A" w14:textId="77777777" w:rsidR="00585DF4" w:rsidRDefault="00585DF4" w:rsidP="00585DF4">
      <w:pPr>
        <w:pStyle w:val="ListParagraph"/>
        <w:numPr>
          <w:ilvl w:val="2"/>
          <w:numId w:val="1"/>
        </w:numPr>
      </w:pPr>
      <w:r>
        <w:lastRenderedPageBreak/>
        <w:t>1) Screen for diabetes among all</w:t>
      </w:r>
    </w:p>
    <w:p w14:paraId="7359E4FD" w14:textId="77777777" w:rsidR="00585DF4" w:rsidRDefault="00585DF4" w:rsidP="00585DF4">
      <w:pPr>
        <w:pStyle w:val="ListParagraph"/>
        <w:numPr>
          <w:ilvl w:val="2"/>
          <w:numId w:val="1"/>
        </w:numPr>
      </w:pPr>
      <w:r>
        <w:t>2) For patients with DM try to get better glycemic control preop</w:t>
      </w:r>
    </w:p>
    <w:p w14:paraId="5AB2C010" w14:textId="77777777" w:rsidR="00585DF4" w:rsidRDefault="00585DF4" w:rsidP="00585DF4">
      <w:pPr>
        <w:pStyle w:val="ListParagraph"/>
        <w:numPr>
          <w:ilvl w:val="2"/>
          <w:numId w:val="1"/>
        </w:numPr>
      </w:pPr>
      <w:r>
        <w:t>3) For ALL patients, get day of surgery fasting blood glucose</w:t>
      </w:r>
    </w:p>
    <w:p w14:paraId="167F03DA" w14:textId="77777777" w:rsidR="00585DF4" w:rsidRDefault="00585DF4" w:rsidP="00585DF4">
      <w:pPr>
        <w:pStyle w:val="ListParagraph"/>
        <w:numPr>
          <w:ilvl w:val="2"/>
          <w:numId w:val="1"/>
        </w:numPr>
      </w:pPr>
      <w:r>
        <w:t xml:space="preserve">4) For ALL patients having surgery expected to last more than 3 </w:t>
      </w:r>
      <w:proofErr w:type="spellStart"/>
      <w:r>
        <w:t>hrs</w:t>
      </w:r>
      <w:proofErr w:type="spellEnd"/>
      <w:r>
        <w:t xml:space="preserve"> get a BG in the OR</w:t>
      </w:r>
    </w:p>
    <w:p w14:paraId="21C3741A" w14:textId="77777777" w:rsidR="00585DF4" w:rsidRDefault="00585DF4" w:rsidP="00585DF4">
      <w:pPr>
        <w:pStyle w:val="ListParagraph"/>
        <w:numPr>
          <w:ilvl w:val="2"/>
          <w:numId w:val="1"/>
        </w:numPr>
      </w:pPr>
      <w:r>
        <w:t>5) For ALL patients who have BG&gt;180, start IV insulin (preop holding or OR) and repeat BG testing until BG&lt;180</w:t>
      </w:r>
    </w:p>
    <w:p w14:paraId="6E91E4A5" w14:textId="6249BBDF" w:rsidR="00585DF4" w:rsidRDefault="00585DF4" w:rsidP="00585DF4">
      <w:pPr>
        <w:pStyle w:val="ListParagraph"/>
        <w:numPr>
          <w:ilvl w:val="2"/>
          <w:numId w:val="1"/>
        </w:numPr>
      </w:pPr>
      <w:r>
        <w:t>6) Postop, discontinue IV insulin once BG gets under 180 and switch to SQ insulin sliding scale"</w:t>
      </w:r>
    </w:p>
    <w:p w14:paraId="74BD93CB" w14:textId="40139DB1" w:rsidR="00FB675F" w:rsidRPr="00FB675F" w:rsidRDefault="00FB675F" w:rsidP="00FB675F">
      <w:pPr>
        <w:pStyle w:val="ListParagraph"/>
        <w:numPr>
          <w:ilvl w:val="1"/>
          <w:numId w:val="1"/>
        </w:numPr>
        <w:rPr>
          <w:color w:val="538135" w:themeColor="accent6" w:themeShade="BF"/>
        </w:rPr>
      </w:pPr>
      <w:r w:rsidRPr="00FB675F">
        <w:rPr>
          <w:color w:val="538135" w:themeColor="accent6" w:themeShade="BF"/>
        </w:rPr>
        <w:t xml:space="preserve">It was not clarified if surgery could proceed in urgent or emergency cases with ketoacidosis is present. I would assume this would be </w:t>
      </w:r>
      <w:proofErr w:type="gramStart"/>
      <w:r w:rsidRPr="00FB675F">
        <w:rPr>
          <w:color w:val="538135" w:themeColor="accent6" w:themeShade="BF"/>
        </w:rPr>
        <w:t>ok</w:t>
      </w:r>
      <w:proofErr w:type="gramEnd"/>
      <w:r w:rsidRPr="00FB675F">
        <w:rPr>
          <w:color w:val="538135" w:themeColor="accent6" w:themeShade="BF"/>
        </w:rPr>
        <w:t xml:space="preserve"> but it is not stated clearly.</w:t>
      </w:r>
    </w:p>
    <w:p w14:paraId="0FBCC71E" w14:textId="77777777" w:rsidR="001E389A" w:rsidRDefault="006615D0" w:rsidP="001E389A">
      <w:pPr>
        <w:pStyle w:val="ListParagraph"/>
        <w:numPr>
          <w:ilvl w:val="0"/>
          <w:numId w:val="1"/>
        </w:numPr>
      </w:pPr>
      <w:r w:rsidRPr="006615D0">
        <w:t>Do you have feedback for the guidelines for Health Delivery Systems?</w:t>
      </w:r>
    </w:p>
    <w:p w14:paraId="2516B0D7" w14:textId="79E7492D" w:rsidR="00585DF4" w:rsidRPr="00585DF4" w:rsidRDefault="001E389A" w:rsidP="00585DF4">
      <w:pPr>
        <w:pStyle w:val="ListParagraph"/>
        <w:numPr>
          <w:ilvl w:val="1"/>
          <w:numId w:val="1"/>
        </w:numPr>
      </w:pPr>
      <w:r w:rsidRPr="001E389A">
        <w:rPr>
          <w:rFonts w:ascii="Aptos Narrow" w:eastAsia="Times New Roman" w:hAnsi="Aptos Narrow" w:cs="Times New Roman"/>
          <w:color w:val="000000"/>
          <w:kern w:val="0"/>
          <w:sz w:val="22"/>
          <w:szCs w:val="22"/>
          <w14:ligatures w14:val="none"/>
        </w:rPr>
        <w:t>One set of educational materials should be used, preferably from the surgical team.  Having separate ones from the health system, health plans, PCP and surgical teams may lead to discrepancies and confusion.</w:t>
      </w:r>
    </w:p>
    <w:p w14:paraId="0796D23D" w14:textId="1CA23D95" w:rsidR="00585DF4" w:rsidRDefault="00585DF4" w:rsidP="001E389A">
      <w:pPr>
        <w:pStyle w:val="ListParagraph"/>
        <w:numPr>
          <w:ilvl w:val="1"/>
          <w:numId w:val="1"/>
        </w:numPr>
      </w:pPr>
      <w:r w:rsidRPr="00585DF4">
        <w:t>Stronger recommendations to hospitals to have the capacity for IV insulin drips in non-ICU settings would help facilitate more insulin use for perioperative hyperglycemia</w:t>
      </w:r>
    </w:p>
    <w:p w14:paraId="2C6E87E9" w14:textId="710EBA89" w:rsidR="006615D0" w:rsidRDefault="006615D0" w:rsidP="006615D0">
      <w:pPr>
        <w:pStyle w:val="ListParagraph"/>
        <w:numPr>
          <w:ilvl w:val="0"/>
          <w:numId w:val="1"/>
        </w:numPr>
      </w:pPr>
      <w:r w:rsidRPr="006615D0">
        <w:t>Do you have feedback for the guidelines for Health Plans?</w:t>
      </w:r>
    </w:p>
    <w:p w14:paraId="2B52061F" w14:textId="6E973F00" w:rsidR="001E389A" w:rsidRDefault="001E389A" w:rsidP="001E389A">
      <w:pPr>
        <w:pStyle w:val="ListParagraph"/>
        <w:numPr>
          <w:ilvl w:val="1"/>
          <w:numId w:val="1"/>
        </w:numPr>
      </w:pPr>
      <w:r>
        <w:t xml:space="preserve">I have concerns about disintermediating existing PCP relationships and clinical management in relying on </w:t>
      </w:r>
      <w:proofErr w:type="gramStart"/>
      <w:r>
        <w:t>the HP</w:t>
      </w:r>
      <w:proofErr w:type="gramEnd"/>
      <w:r>
        <w:t xml:space="preserve"> to care manage a patient outside of the surgical care team and existing PCP structures.  This can be confusing to the </w:t>
      </w:r>
      <w:proofErr w:type="gramStart"/>
      <w:r>
        <w:t>member</w:t>
      </w:r>
      <w:proofErr w:type="gramEnd"/>
      <w:r>
        <w:t xml:space="preserve"> and may provide inaccurate information.  Diabetic point solutions from </w:t>
      </w:r>
      <w:proofErr w:type="gramStart"/>
      <w:r>
        <w:t>the HP</w:t>
      </w:r>
      <w:proofErr w:type="gramEnd"/>
      <w:r>
        <w:t xml:space="preserve"> typically are not connected to the treating physicians and information sharing is limited at best.  Some points solutions offer limited value.  </w:t>
      </w:r>
      <w:proofErr w:type="gramStart"/>
      <w:r>
        <w:t>Better</w:t>
      </w:r>
      <w:proofErr w:type="gramEnd"/>
      <w:r>
        <w:t xml:space="preserve"> to either name the solution or remove </w:t>
      </w:r>
      <w:proofErr w:type="gramStart"/>
      <w:r>
        <w:t>recommendation</w:t>
      </w:r>
      <w:proofErr w:type="gramEnd"/>
      <w:r>
        <w:t xml:space="preserve">.  Education materials should come from the </w:t>
      </w:r>
      <w:proofErr w:type="gramStart"/>
      <w:r>
        <w:t>treating</w:t>
      </w:r>
      <w:proofErr w:type="gramEnd"/>
      <w:r>
        <w:t xml:space="preserve"> provider as they may be more specific to the service being provided and have more specific instructions.  Dashboards and metrics should be developed separately or use local or national reporting </w:t>
      </w:r>
      <w:proofErr w:type="gramStart"/>
      <w:r>
        <w:t>group</w:t>
      </w:r>
      <w:proofErr w:type="gramEnd"/>
      <w:r>
        <w:t>.  Otherwise, each HP will develop somewhat different coding and specifications for measurement which can be confusing to the provider QI program.  Bundled payments - I suggest having anemia management external to the bundle (paid separately) rather than included in a general bundle arrangement.</w:t>
      </w:r>
    </w:p>
    <w:p w14:paraId="5A54D6E4" w14:textId="13F7EE41" w:rsidR="006615D0" w:rsidRDefault="006615D0" w:rsidP="006615D0">
      <w:pPr>
        <w:pStyle w:val="ListParagraph"/>
        <w:numPr>
          <w:ilvl w:val="0"/>
          <w:numId w:val="1"/>
        </w:numPr>
      </w:pPr>
      <w:r w:rsidRPr="006615D0">
        <w:t>Do you have feedback for the guidelines for Employer Purchasers?</w:t>
      </w:r>
    </w:p>
    <w:p w14:paraId="600E69E2" w14:textId="77777777" w:rsidR="005B5D5A" w:rsidRDefault="005B5D5A" w:rsidP="001E389A">
      <w:pPr>
        <w:pStyle w:val="ListParagraph"/>
        <w:numPr>
          <w:ilvl w:val="1"/>
          <w:numId w:val="1"/>
        </w:numPr>
      </w:pPr>
      <w:r>
        <w:t>See the following:</w:t>
      </w:r>
    </w:p>
    <w:p w14:paraId="18554A42" w14:textId="6F38A2A8" w:rsidR="005B5D5A" w:rsidRDefault="003228EE" w:rsidP="003228EE">
      <w:pPr>
        <w:pStyle w:val="ListParagraph"/>
        <w:numPr>
          <w:ilvl w:val="2"/>
          <w:numId w:val="1"/>
        </w:numPr>
      </w:pPr>
      <w:r>
        <w:lastRenderedPageBreak/>
        <w:t>”</w:t>
      </w:r>
      <w:r w:rsidRPr="00846510">
        <w:rPr>
          <w:i/>
          <w:iCs/>
        </w:rPr>
        <w:t>Request benefit vendors include strategies to incent surgical optimization, such as pay for performance or shared savings models</w:t>
      </w:r>
      <w:r>
        <w:t xml:space="preserve">” - </w:t>
      </w:r>
      <w:r w:rsidR="001E389A">
        <w:t xml:space="preserve">Most of the guidelines discusses bundled payment yet for the employer changes to a shared savings model or P$P which have zero provider risk. </w:t>
      </w:r>
    </w:p>
    <w:p w14:paraId="7B29C56A" w14:textId="3287A32B" w:rsidR="005B5D5A" w:rsidRDefault="004F5A34" w:rsidP="004F5A34">
      <w:pPr>
        <w:pStyle w:val="ListParagraph"/>
        <w:numPr>
          <w:ilvl w:val="2"/>
          <w:numId w:val="1"/>
        </w:numPr>
      </w:pPr>
      <w:r>
        <w:t>“</w:t>
      </w:r>
      <w:r w:rsidRPr="004F5A34">
        <w:t>Inquire about center of excellence in surgery models and incorporate glycemic control and anemia optimization interventions</w:t>
      </w:r>
      <w:r>
        <w:t xml:space="preserve">” - </w:t>
      </w:r>
      <w:r w:rsidR="001E389A">
        <w:t xml:space="preserve">May want to rewrite for clarity.  Alternatively, recommend the use of COE for major procedures and any COE must have robust management for glycemic control and anemia in selected populations. </w:t>
      </w:r>
    </w:p>
    <w:p w14:paraId="003DFDD4" w14:textId="4DF225E0" w:rsidR="005B5D5A" w:rsidRDefault="00BF0428" w:rsidP="00BF0428">
      <w:pPr>
        <w:pStyle w:val="ListParagraph"/>
        <w:numPr>
          <w:ilvl w:val="2"/>
          <w:numId w:val="1"/>
        </w:numPr>
      </w:pPr>
      <w:r>
        <w:t>“</w:t>
      </w:r>
      <w:r w:rsidRPr="00846510">
        <w:rPr>
          <w:i/>
          <w:iCs/>
        </w:rPr>
        <w:t>Require monitoring of preoperative screening for anemia and glycemic control in health plan coverage of major surgical procedures</w:t>
      </w:r>
      <w:r>
        <w:t xml:space="preserve">” - </w:t>
      </w:r>
      <w:r w:rsidR="001E389A">
        <w:t xml:space="preserve">may want to add "" ... for at risk populations."" </w:t>
      </w:r>
    </w:p>
    <w:p w14:paraId="64ED399E" w14:textId="2D7EA97B" w:rsidR="001E389A" w:rsidRDefault="00846510" w:rsidP="00846510">
      <w:pPr>
        <w:pStyle w:val="ListParagraph"/>
        <w:numPr>
          <w:ilvl w:val="2"/>
          <w:numId w:val="1"/>
        </w:numPr>
      </w:pPr>
      <w:r>
        <w:t>“</w:t>
      </w:r>
      <w:r w:rsidRPr="00846510">
        <w:rPr>
          <w:i/>
          <w:iCs/>
        </w:rPr>
        <w:t>Select performance measures related to anemia and glycemic control for surgical quality (e.g., transfusion rate, surgical site infection)</w:t>
      </w:r>
      <w:r>
        <w:t xml:space="preserve">” - </w:t>
      </w:r>
      <w:r w:rsidR="001E389A">
        <w:t xml:space="preserve">Performance measures should be developed regionally or nationally so that consistent specifications and coding occur.  As written, it is unclear what may be </w:t>
      </w:r>
      <w:proofErr w:type="gramStart"/>
      <w:r w:rsidR="001E389A">
        <w:t>measured</w:t>
      </w:r>
      <w:proofErr w:type="gramEnd"/>
      <w:r w:rsidR="001E389A">
        <w:t xml:space="preserve"> or measurement may/will vary by health plan reporting."</w:t>
      </w:r>
    </w:p>
    <w:p w14:paraId="13E3F1EF" w14:textId="28206143" w:rsidR="006615D0" w:rsidRDefault="006615D0" w:rsidP="006615D0">
      <w:pPr>
        <w:pStyle w:val="ListParagraph"/>
        <w:numPr>
          <w:ilvl w:val="0"/>
          <w:numId w:val="1"/>
        </w:numPr>
      </w:pPr>
      <w:r w:rsidRPr="006615D0">
        <w:t>Do you have feedback for the guidelines for State Agencies?</w:t>
      </w:r>
    </w:p>
    <w:p w14:paraId="60B6A2C8" w14:textId="4B21F996" w:rsidR="00192CD5" w:rsidRDefault="004A714D" w:rsidP="004A714D">
      <w:pPr>
        <w:pStyle w:val="ListParagraph"/>
        <w:numPr>
          <w:ilvl w:val="1"/>
          <w:numId w:val="1"/>
        </w:numPr>
      </w:pPr>
      <w:r>
        <w:t>“</w:t>
      </w:r>
      <w:r w:rsidRPr="004A714D">
        <w:rPr>
          <w:i/>
          <w:iCs/>
        </w:rPr>
        <w:t>Consider supporting the creation of patient decision aids on presurgical optimization, including a focus specifically on glycemic control and anemia optimization</w:t>
      </w:r>
      <w:r>
        <w:t xml:space="preserve">” - </w:t>
      </w:r>
      <w:r w:rsidR="00585DF4" w:rsidRPr="00585DF4">
        <w:t>OK if budgets allow.  Would assess the value of HCA creating new educational materials versus use of provider derived materials</w:t>
      </w:r>
    </w:p>
    <w:p w14:paraId="1F4E7E82" w14:textId="70A547EC" w:rsidR="006615D0" w:rsidRDefault="006615D0" w:rsidP="006615D0">
      <w:pPr>
        <w:pStyle w:val="ListParagraph"/>
        <w:numPr>
          <w:ilvl w:val="0"/>
          <w:numId w:val="1"/>
        </w:numPr>
      </w:pPr>
      <w:r w:rsidRPr="006615D0">
        <w:t>Do you have feedback for the sections in the Background: Glycemic Control, Anemia, Prioritizing Optimization, Measurement, Procedures, Paying for Value? Please indicate which section</w:t>
      </w:r>
    </w:p>
    <w:p w14:paraId="179E2982" w14:textId="05D4DC3C" w:rsidR="006615D0" w:rsidRDefault="006615D0" w:rsidP="006615D0">
      <w:pPr>
        <w:pStyle w:val="ListParagraph"/>
        <w:numPr>
          <w:ilvl w:val="0"/>
          <w:numId w:val="1"/>
        </w:numPr>
      </w:pPr>
      <w:r w:rsidRPr="006615D0">
        <w:t>Do you have feedback for any Appendices?</w:t>
      </w:r>
    </w:p>
    <w:p w14:paraId="077B073D" w14:textId="6473CCA0" w:rsidR="006615D0" w:rsidRDefault="006615D0" w:rsidP="006615D0">
      <w:pPr>
        <w:pStyle w:val="ListParagraph"/>
        <w:numPr>
          <w:ilvl w:val="0"/>
          <w:numId w:val="1"/>
        </w:numPr>
      </w:pPr>
      <w:r w:rsidRPr="006615D0">
        <w:t>Additional Comments?</w:t>
      </w:r>
    </w:p>
    <w:sectPr w:rsidR="006615D0" w:rsidSect="006615D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E33C9"/>
    <w:multiLevelType w:val="hybridMultilevel"/>
    <w:tmpl w:val="83CE1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837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D0"/>
    <w:rsid w:val="00192CD5"/>
    <w:rsid w:val="001E389A"/>
    <w:rsid w:val="003228EE"/>
    <w:rsid w:val="003B7FA8"/>
    <w:rsid w:val="0041648F"/>
    <w:rsid w:val="00471F2A"/>
    <w:rsid w:val="004A714D"/>
    <w:rsid w:val="004F5A34"/>
    <w:rsid w:val="00585DF4"/>
    <w:rsid w:val="00594C90"/>
    <w:rsid w:val="005B5D5A"/>
    <w:rsid w:val="006615D0"/>
    <w:rsid w:val="0082387D"/>
    <w:rsid w:val="00846510"/>
    <w:rsid w:val="00885EFA"/>
    <w:rsid w:val="008E3E85"/>
    <w:rsid w:val="009B3539"/>
    <w:rsid w:val="00BE7E4D"/>
    <w:rsid w:val="00BF0428"/>
    <w:rsid w:val="00C80606"/>
    <w:rsid w:val="00CA36BD"/>
    <w:rsid w:val="00F14174"/>
    <w:rsid w:val="00F454C1"/>
    <w:rsid w:val="00FB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1E5B"/>
  <w15:chartTrackingRefBased/>
  <w15:docId w15:val="{50F34DD1-2FF8-4825-9BE5-186A0304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5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15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5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5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15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15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5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5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5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15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5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5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15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1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5D0"/>
    <w:rPr>
      <w:rFonts w:eastAsiaTheme="majorEastAsia" w:cstheme="majorBidi"/>
      <w:color w:val="272727" w:themeColor="text1" w:themeTint="D8"/>
    </w:rPr>
  </w:style>
  <w:style w:type="paragraph" w:styleId="Title">
    <w:name w:val="Title"/>
    <w:basedOn w:val="Normal"/>
    <w:next w:val="Normal"/>
    <w:link w:val="TitleChar"/>
    <w:uiPriority w:val="10"/>
    <w:qFormat/>
    <w:rsid w:val="00661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5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5D0"/>
    <w:pPr>
      <w:spacing w:before="160"/>
      <w:jc w:val="center"/>
    </w:pPr>
    <w:rPr>
      <w:i/>
      <w:iCs/>
      <w:color w:val="404040" w:themeColor="text1" w:themeTint="BF"/>
    </w:rPr>
  </w:style>
  <w:style w:type="character" w:customStyle="1" w:styleId="QuoteChar">
    <w:name w:val="Quote Char"/>
    <w:basedOn w:val="DefaultParagraphFont"/>
    <w:link w:val="Quote"/>
    <w:uiPriority w:val="29"/>
    <w:rsid w:val="006615D0"/>
    <w:rPr>
      <w:i/>
      <w:iCs/>
      <w:color w:val="404040" w:themeColor="text1" w:themeTint="BF"/>
    </w:rPr>
  </w:style>
  <w:style w:type="paragraph" w:styleId="ListParagraph">
    <w:name w:val="List Paragraph"/>
    <w:basedOn w:val="Normal"/>
    <w:uiPriority w:val="34"/>
    <w:qFormat/>
    <w:rsid w:val="006615D0"/>
    <w:pPr>
      <w:ind w:left="720"/>
      <w:contextualSpacing/>
    </w:pPr>
  </w:style>
  <w:style w:type="character" w:styleId="IntenseEmphasis">
    <w:name w:val="Intense Emphasis"/>
    <w:basedOn w:val="DefaultParagraphFont"/>
    <w:uiPriority w:val="21"/>
    <w:qFormat/>
    <w:rsid w:val="006615D0"/>
    <w:rPr>
      <w:i/>
      <w:iCs/>
      <w:color w:val="2F5496" w:themeColor="accent1" w:themeShade="BF"/>
    </w:rPr>
  </w:style>
  <w:style w:type="paragraph" w:styleId="IntenseQuote">
    <w:name w:val="Intense Quote"/>
    <w:basedOn w:val="Normal"/>
    <w:next w:val="Normal"/>
    <w:link w:val="IntenseQuoteChar"/>
    <w:uiPriority w:val="30"/>
    <w:qFormat/>
    <w:rsid w:val="006615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15D0"/>
    <w:rPr>
      <w:i/>
      <w:iCs/>
      <w:color w:val="2F5496" w:themeColor="accent1" w:themeShade="BF"/>
    </w:rPr>
  </w:style>
  <w:style w:type="character" w:styleId="IntenseReference">
    <w:name w:val="Intense Reference"/>
    <w:basedOn w:val="DefaultParagraphFont"/>
    <w:uiPriority w:val="32"/>
    <w:qFormat/>
    <w:rsid w:val="006615D0"/>
    <w:rPr>
      <w:b/>
      <w:bCs/>
      <w:smallCaps/>
      <w:color w:val="2F5496" w:themeColor="accent1" w:themeShade="BF"/>
      <w:spacing w:val="5"/>
    </w:rPr>
  </w:style>
  <w:style w:type="table" w:styleId="TableGrid">
    <w:name w:val="Table Grid"/>
    <w:basedOn w:val="TableNormal"/>
    <w:uiPriority w:val="39"/>
    <w:rsid w:val="00661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8708C326C3E4CADFCB833D741E62C" ma:contentTypeVersion="19" ma:contentTypeDescription="Create a new document." ma:contentTypeScope="" ma:versionID="4f078f575969957c2aee26103dfb227e">
  <xsd:schema xmlns:xsd="http://www.w3.org/2001/XMLSchema" xmlns:xs="http://www.w3.org/2001/XMLSchema" xmlns:p="http://schemas.microsoft.com/office/2006/metadata/properties" xmlns:ns2="30c96ee6-c168-4e58-9503-bca1f305f3f9" xmlns:ns3="f46ad185-d85d-425e-a013-e9b99bc40c0a" targetNamespace="http://schemas.microsoft.com/office/2006/metadata/properties" ma:root="true" ma:fieldsID="435d8cb6a12681040456e76bb4b36472" ns2:_="" ns3:_="">
    <xsd:import namespace="30c96ee6-c168-4e58-9503-bca1f305f3f9"/>
    <xsd:import namespace="f46ad185-d85d-425e-a013-e9b99bc40c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96ee6-c168-4e58-9503-bca1f305f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d3087-7421-4ee1-8c49-b3c8cbaf401e"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ad185-d85d-425e-a013-e9b99bc40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6735cc-23fa-4e5d-b651-fd23c1f97947}" ma:internalName="TaxCatchAll" ma:showField="CatchAllData" ma:web="f46ad185-d85d-425e-a013-e9b99bc40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30c96ee6-c168-4e58-9503-bca1f305f3f9" xsi:nil="true"/>
    <lcf76f155ced4ddcb4097134ff3c332f xmlns="30c96ee6-c168-4e58-9503-bca1f305f3f9">
      <Terms xmlns="http://schemas.microsoft.com/office/infopath/2007/PartnerControls"/>
    </lcf76f155ced4ddcb4097134ff3c332f>
    <TaxCatchAll xmlns="f46ad185-d85d-425e-a013-e9b99bc40c0a" xsi:nil="true"/>
  </documentManagement>
</p:properties>
</file>

<file path=customXml/itemProps1.xml><?xml version="1.0" encoding="utf-8"?>
<ds:datastoreItem xmlns:ds="http://schemas.openxmlformats.org/officeDocument/2006/customXml" ds:itemID="{D10CBADE-B36B-49E2-8584-A65D5B32A6EC}"/>
</file>

<file path=customXml/itemProps2.xml><?xml version="1.0" encoding="utf-8"?>
<ds:datastoreItem xmlns:ds="http://schemas.openxmlformats.org/officeDocument/2006/customXml" ds:itemID="{65C03CC2-5A73-4486-854D-9B44759F1606}">
  <ds:schemaRefs>
    <ds:schemaRef ds:uri="http://schemas.microsoft.com/sharepoint/v3/contenttype/forms"/>
  </ds:schemaRefs>
</ds:datastoreItem>
</file>

<file path=customXml/itemProps3.xml><?xml version="1.0" encoding="utf-8"?>
<ds:datastoreItem xmlns:ds="http://schemas.openxmlformats.org/officeDocument/2006/customXml" ds:itemID="{B5AA590B-3DF7-4BE4-A20E-E7AEEED9A6A2}">
  <ds:schemaRefs>
    <ds:schemaRef ds:uri="http://schemas.microsoft.com/office/2006/metadata/properties"/>
    <ds:schemaRef ds:uri="http://schemas.microsoft.com/office/infopath/2007/PartnerControls"/>
    <ds:schemaRef ds:uri="30c96ee6-c168-4e58-9503-bca1f305f3f9"/>
    <ds:schemaRef ds:uri="f46ad185-d85d-425e-a013-e9b99bc40c0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1022</Words>
  <Characters>5408</Characters>
  <Application>Microsoft Office Word</Application>
  <DocSecurity>0</DocSecurity>
  <Lines>73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Bojkov</dc:creator>
  <cp:keywords/>
  <dc:description/>
  <cp:lastModifiedBy>Beth Bojkov</cp:lastModifiedBy>
  <cp:revision>12</cp:revision>
  <dcterms:created xsi:type="dcterms:W3CDTF">2025-10-24T17:58:00Z</dcterms:created>
  <dcterms:modified xsi:type="dcterms:W3CDTF">2025-10-27T17:57:00Z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0x010100EE88708C326C3E4CADFCB833D741E62C</vt:lpwstr>
  </property>
  <property fmtid="{D5CDD505-2E9C-101B-9397-08002B2CF9AE}" pid="3" name="MediaServiceImageTags">
    <vt:lpwstr/>
  </property>
</Properties>
</file>