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866" w:rsidP="00E05B1C" w:rsidRDefault="00E05B1C" w14:paraId="3E48C4D4" w14:textId="41D1E642">
      <w:pPr>
        <w:pStyle w:val="Heading1"/>
      </w:pPr>
      <w:r>
        <w:t>Alzheimer’s and Other Dementias Revision Workplan</w:t>
      </w:r>
    </w:p>
    <w:p w:rsidR="00E05B1C" w:rsidP="00E05B1C" w:rsidRDefault="00E05B1C" w14:paraId="1376E750" w14:textId="0546271D">
      <w:pPr>
        <w:pStyle w:val="Heading2"/>
      </w:pPr>
      <w:r>
        <w:t>Charter Aim</w:t>
      </w:r>
    </w:p>
    <w:p w:rsidR="00367B2F" w:rsidP="00367B2F" w:rsidRDefault="00367B2F" w14:paraId="18C99410" w14:textId="77777777">
      <w:pPr>
        <w:rPr>
          <w:rFonts w:eastAsia="Times New Roman" w:cstheme="minorHAnsi"/>
        </w:rPr>
      </w:pPr>
      <w:r w:rsidRPr="00AE79E8">
        <w:rPr>
          <w:rFonts w:eastAsia="Times New Roman" w:cstheme="minorHAnsi"/>
        </w:rPr>
        <w:t>To</w:t>
      </w:r>
      <w:r>
        <w:rPr>
          <w:rFonts w:eastAsia="Times New Roman" w:cstheme="minorHAnsi"/>
        </w:rPr>
        <w:t xml:space="preserve"> update and standardize evidence-based prevention, early detection, and treatment for those living with and at risk for Alzheimer’s Disease and other dementias to prevent and delay progression of these conditions for our community</w:t>
      </w:r>
    </w:p>
    <w:p w:rsidR="00367B2F" w:rsidP="00BC3F3F" w:rsidRDefault="00E05B1C" w14:paraId="0AEF3FEF" w14:textId="77777777">
      <w:pPr>
        <w:pStyle w:val="Heading2"/>
      </w:pPr>
      <w:r>
        <w:t>Charter Purpose</w:t>
      </w:r>
    </w:p>
    <w:p w:rsidR="004859FE" w:rsidP="004859FE" w:rsidRDefault="004859FE" w14:paraId="08F2D79E" w14:textId="77777777">
      <w:pPr>
        <w:pStyle w:val="ListParagraph"/>
        <w:keepNext/>
        <w:numPr>
          <w:ilvl w:val="0"/>
          <w:numId w:val="12"/>
        </w:numPr>
        <w:spacing w:after="0" w:line="240" w:lineRule="auto"/>
        <w:outlineLvl w:val="2"/>
        <w:rPr>
          <w:rFonts w:eastAsia="Times New Roman" w:cstheme="minorHAnsi"/>
        </w:rPr>
      </w:pPr>
      <w:r w:rsidRPr="00D87C7B">
        <w:rPr>
          <w:rFonts w:eastAsia="Times New Roman" w:cstheme="minorHAnsi"/>
        </w:rPr>
        <w:t xml:space="preserve">Defining </w:t>
      </w:r>
      <w:r>
        <w:rPr>
          <w:rFonts w:eastAsia="Times New Roman" w:cstheme="minorHAnsi"/>
        </w:rPr>
        <w:t>topic area and scope</w:t>
      </w:r>
    </w:p>
    <w:p w:rsidR="004859FE" w:rsidP="004859FE" w:rsidRDefault="004859FE" w14:paraId="67466D56" w14:textId="77777777">
      <w:pPr>
        <w:pStyle w:val="ListParagraph"/>
        <w:keepNext/>
        <w:numPr>
          <w:ilvl w:val="0"/>
          <w:numId w:val="12"/>
        </w:numPr>
        <w:spacing w:after="0" w:line="240" w:lineRule="auto"/>
        <w:outlineLvl w:val="2"/>
        <w:rPr>
          <w:rFonts w:eastAsia="Times New Roman" w:cstheme="minorHAnsi"/>
        </w:rPr>
      </w:pPr>
      <w:r>
        <w:rPr>
          <w:rFonts w:eastAsia="Times New Roman" w:cstheme="minorHAnsi"/>
        </w:rPr>
        <w:t>Align</w:t>
      </w:r>
      <w:r w:rsidRPr="005E745B">
        <w:rPr>
          <w:rFonts w:eastAsia="Times New Roman" w:cstheme="minorHAnsi"/>
        </w:rPr>
        <w:t xml:space="preserve"> with the </w:t>
      </w:r>
      <w:r>
        <w:rPr>
          <w:rFonts w:eastAsia="Times New Roman" w:cstheme="minorHAnsi"/>
        </w:rPr>
        <w:t xml:space="preserve">WA </w:t>
      </w:r>
      <w:r w:rsidRPr="005E745B">
        <w:rPr>
          <w:rFonts w:eastAsia="Times New Roman" w:cstheme="minorHAnsi"/>
        </w:rPr>
        <w:t xml:space="preserve">Alzheimer’s State Plan and the </w:t>
      </w:r>
      <w:r>
        <w:rPr>
          <w:rFonts w:eastAsia="Times New Roman" w:cstheme="minorHAnsi"/>
        </w:rPr>
        <w:t>Dementia Action Collaborative Working Group</w:t>
      </w:r>
      <w:r w:rsidRPr="005E745B">
        <w:rPr>
          <w:rFonts w:eastAsia="Times New Roman" w:cstheme="minorHAnsi"/>
        </w:rPr>
        <w:t xml:space="preserve"> </w:t>
      </w:r>
    </w:p>
    <w:p w:rsidRPr="00471E9F" w:rsidR="004859FE" w:rsidP="004859FE" w:rsidRDefault="004859FE" w14:paraId="13DD6B24" w14:textId="77777777">
      <w:pPr>
        <w:pStyle w:val="ListParagraph"/>
        <w:numPr>
          <w:ilvl w:val="0"/>
          <w:numId w:val="12"/>
        </w:numPr>
        <w:spacing w:after="200" w:line="276" w:lineRule="auto"/>
        <w:rPr>
          <w:rFonts w:ascii="Calibri" w:hAnsi="Calibri" w:cs="Calibri"/>
          <w:color w:val="000000"/>
        </w:rPr>
      </w:pPr>
      <w:r w:rsidRPr="00E60718">
        <w:rPr>
          <w:rFonts w:ascii="Calibri" w:hAnsi="Calibri" w:cs="Calibri"/>
          <w:color w:val="000000"/>
        </w:rPr>
        <w:t xml:space="preserve">Update report with recent evidence on </w:t>
      </w:r>
      <w:r>
        <w:rPr>
          <w:rFonts w:ascii="Calibri" w:hAnsi="Calibri" w:cs="Calibri"/>
          <w:color w:val="000000"/>
        </w:rPr>
        <w:t>risk reduction across the life span</w:t>
      </w:r>
      <w:r w:rsidRPr="00E60718">
        <w:rPr>
          <w:rFonts w:ascii="Calibri" w:hAnsi="Calibri" w:cs="Calibri"/>
          <w:color w:val="000000"/>
        </w:rPr>
        <w:t>, biomarker testing, nonpharmacological and new drug therapies for Alzheimer’s and dementias</w:t>
      </w:r>
    </w:p>
    <w:p w:rsidR="004859FE" w:rsidP="004859FE" w:rsidRDefault="004859FE" w14:paraId="3063F0F6" w14:textId="77777777">
      <w:pPr>
        <w:pStyle w:val="ListParagraph"/>
        <w:numPr>
          <w:ilvl w:val="0"/>
          <w:numId w:val="12"/>
        </w:numPr>
        <w:spacing w:after="200" w:line="276" w:lineRule="auto"/>
        <w:rPr>
          <w:rFonts w:ascii="Calibri" w:hAnsi="Calibri" w:cs="Calibri"/>
          <w:color w:val="000000"/>
        </w:rPr>
      </w:pPr>
      <w:r w:rsidRPr="00E60718">
        <w:rPr>
          <w:rFonts w:ascii="Calibri" w:hAnsi="Calibri" w:cs="Calibri"/>
          <w:color w:val="000000"/>
        </w:rPr>
        <w:t>Develop an implementation plan for age-friendly health systems and geriatric emergency departments to improve cognitive impairment care through team-based approaches and clarify roles across health</w:t>
      </w:r>
      <w:r>
        <w:rPr>
          <w:rFonts w:ascii="Calibri" w:hAnsi="Calibri" w:cs="Calibri"/>
          <w:color w:val="000000"/>
        </w:rPr>
        <w:t>care services and specialties</w:t>
      </w:r>
    </w:p>
    <w:p w:rsidR="004859FE" w:rsidP="004859FE" w:rsidRDefault="004859FE" w14:paraId="051FDFA4" w14:textId="77777777">
      <w:pPr>
        <w:pStyle w:val="ListParagraph"/>
        <w:numPr>
          <w:ilvl w:val="0"/>
          <w:numId w:val="12"/>
        </w:numPr>
        <w:spacing w:after="200" w:line="276" w:lineRule="auto"/>
        <w:rPr>
          <w:rFonts w:ascii="Calibri" w:hAnsi="Calibri" w:cs="Calibri"/>
          <w:color w:val="000000"/>
        </w:rPr>
      </w:pPr>
      <w:r w:rsidRPr="00E60718">
        <w:rPr>
          <w:rFonts w:ascii="Calibri" w:hAnsi="Calibri" w:cs="Calibri"/>
          <w:color w:val="000000"/>
        </w:rPr>
        <w:t>Align payor coverage for early detection and intervention</w:t>
      </w:r>
      <w:r>
        <w:rPr>
          <w:rFonts w:ascii="Calibri" w:hAnsi="Calibri" w:cs="Calibri"/>
          <w:color w:val="000000"/>
        </w:rPr>
        <w:t>, such as through team-based care</w:t>
      </w:r>
    </w:p>
    <w:p w:rsidR="004859FE" w:rsidP="004859FE" w:rsidRDefault="004859FE" w14:paraId="32D35AFD" w14:textId="77777777">
      <w:pPr>
        <w:pStyle w:val="ListParagraph"/>
        <w:numPr>
          <w:ilvl w:val="0"/>
          <w:numId w:val="12"/>
        </w:numPr>
        <w:spacing w:after="200" w:line="276" w:lineRule="auto"/>
        <w:rPr>
          <w:rFonts w:ascii="Calibri" w:hAnsi="Calibri" w:cs="Calibri"/>
          <w:color w:val="000000"/>
        </w:rPr>
      </w:pPr>
      <w:r>
        <w:rPr>
          <w:rFonts w:ascii="Calibri" w:hAnsi="Calibri" w:cs="Calibri"/>
          <w:color w:val="000000"/>
        </w:rPr>
        <w:t>Standardize</w:t>
      </w:r>
      <w:r w:rsidRPr="00E60718">
        <w:rPr>
          <w:rFonts w:ascii="Calibri" w:hAnsi="Calibri" w:cs="Calibri"/>
          <w:color w:val="000000"/>
        </w:rPr>
        <w:t xml:space="preserve"> quality measures for Alzheimer’s and dementias</w:t>
      </w:r>
    </w:p>
    <w:p w:rsidRPr="00651CFB" w:rsidR="004859FE" w:rsidP="004859FE" w:rsidRDefault="004859FE" w14:paraId="71566F87" w14:textId="77777777">
      <w:pPr>
        <w:pStyle w:val="ListParagraph"/>
        <w:numPr>
          <w:ilvl w:val="0"/>
          <w:numId w:val="12"/>
        </w:numPr>
        <w:spacing w:after="200" w:line="276" w:lineRule="auto"/>
        <w:rPr>
          <w:rFonts w:ascii="Calibri" w:hAnsi="Calibri" w:cs="Calibri"/>
          <w:color w:val="000000"/>
        </w:rPr>
      </w:pPr>
      <w:r w:rsidRPr="00E60718">
        <w:rPr>
          <w:rFonts w:ascii="Calibri" w:hAnsi="Calibri" w:cs="Calibri"/>
          <w:color w:val="000000"/>
        </w:rPr>
        <w:t>Identify ways to expand service access in underserved areas</w:t>
      </w:r>
      <w:r>
        <w:rPr>
          <w:rFonts w:ascii="Calibri" w:hAnsi="Calibri" w:cs="Calibri"/>
          <w:color w:val="000000"/>
        </w:rPr>
        <w:t xml:space="preserve"> and e</w:t>
      </w:r>
      <w:r w:rsidRPr="00243950">
        <w:rPr>
          <w:rFonts w:ascii="Calibri" w:hAnsi="Calibri" w:cs="Calibri"/>
          <w:color w:val="000000"/>
        </w:rPr>
        <w:t>nhance long-term support for patients, families, and caregivers</w:t>
      </w:r>
    </w:p>
    <w:p w:rsidRPr="004859FE" w:rsidR="00367B2F" w:rsidP="00367B2F" w:rsidRDefault="004859FE" w14:paraId="1C51CBB1" w14:textId="5666711C">
      <w:pPr>
        <w:pStyle w:val="ListParagraph"/>
        <w:numPr>
          <w:ilvl w:val="0"/>
          <w:numId w:val="13"/>
        </w:numPr>
        <w:spacing w:after="200" w:line="276" w:lineRule="auto"/>
        <w:ind w:left="660"/>
        <w:rPr>
          <w:rFonts w:ascii="Calibri" w:hAnsi="Calibri" w:cs="Calibri"/>
          <w:color w:val="000000"/>
        </w:rPr>
      </w:pPr>
      <w:r w:rsidRPr="00E60718">
        <w:rPr>
          <w:rFonts w:ascii="Calibri" w:hAnsi="Calibri" w:cs="Calibri"/>
          <w:color w:val="000000"/>
        </w:rPr>
        <w:t>Add other focus areas as necessary</w:t>
      </w:r>
    </w:p>
    <w:p w:rsidR="00BC3F3F" w:rsidP="00BC3F3F" w:rsidRDefault="00F960EC" w14:paraId="62FF1A85" w14:textId="77777777">
      <w:pPr>
        <w:pStyle w:val="Heading2"/>
      </w:pPr>
      <w:r>
        <w:t>Out of Scope</w:t>
      </w:r>
    </w:p>
    <w:p w:rsidR="00BC3F3F" w:rsidP="00BC3F3F" w:rsidRDefault="00BC3F3F" w14:paraId="767DA097" w14:textId="77777777">
      <w:pPr>
        <w:pStyle w:val="ListParagraph"/>
        <w:keepNext/>
        <w:numPr>
          <w:ilvl w:val="0"/>
          <w:numId w:val="14"/>
        </w:numPr>
        <w:spacing w:after="0" w:line="240" w:lineRule="auto"/>
        <w:outlineLvl w:val="2"/>
        <w:rPr>
          <w:rFonts w:eastAsia="Times New Roman" w:cstheme="minorHAnsi"/>
        </w:rPr>
      </w:pPr>
      <w:r w:rsidRPr="00F27A74">
        <w:rPr>
          <w:rFonts w:eastAsia="Times New Roman" w:cstheme="minorHAnsi"/>
        </w:rPr>
        <w:t>Other conditions that cause cognitive dysfunction (e.g., TBI)</w:t>
      </w:r>
    </w:p>
    <w:p w:rsidRPr="0001135C" w:rsidR="00BC3F3F" w:rsidP="00BC3F3F" w:rsidRDefault="00BC3F3F" w14:paraId="6FA93C53" w14:textId="661422DE">
      <w:pPr>
        <w:pStyle w:val="ListParagraph"/>
        <w:keepNext/>
        <w:numPr>
          <w:ilvl w:val="0"/>
          <w:numId w:val="14"/>
        </w:numPr>
        <w:spacing w:after="0" w:line="240" w:lineRule="auto"/>
        <w:outlineLvl w:val="2"/>
        <w:rPr>
          <w:rFonts w:eastAsia="Times New Roman" w:cstheme="minorHAnsi"/>
        </w:rPr>
      </w:pPr>
      <w:r>
        <w:rPr>
          <w:rFonts w:eastAsia="Times New Roman" w:cstheme="minorHAnsi"/>
        </w:rPr>
        <w:t xml:space="preserve">Other conditions commonly associated with aging </w:t>
      </w:r>
    </w:p>
    <w:p w:rsidR="00E05B1C" w:rsidP="00367B2F" w:rsidRDefault="00E05B1C" w14:paraId="7EDE2D1D" w14:textId="3437FD59">
      <w:r>
        <w:br w:type="page"/>
      </w:r>
    </w:p>
    <w:p w:rsidR="00E05B1C" w:rsidP="00853399" w:rsidRDefault="00E05B1C" w14:paraId="01063E19" w14:textId="74658BD1">
      <w:pPr>
        <w:pStyle w:val="Heading2"/>
      </w:pPr>
      <w:r>
        <w:lastRenderedPageBreak/>
        <w:t>Focus Areas</w:t>
      </w:r>
    </w:p>
    <w:p w:rsidRPr="00853399" w:rsidR="00853399" w:rsidP="00853399" w:rsidRDefault="00853399" w14:paraId="1C1E6E6E" w14:textId="47BA2B51">
      <w:pPr>
        <w:rPr>
          <w:i/>
          <w:iCs/>
        </w:rPr>
      </w:pPr>
      <w:r w:rsidRPr="00853399">
        <w:rPr>
          <w:i/>
          <w:iCs/>
        </w:rPr>
        <w:t>Major updates noted in the comments or in red</w:t>
      </w:r>
    </w:p>
    <w:tbl>
      <w:tblPr>
        <w:tblStyle w:val="PlainTable11"/>
        <w:tblW w:w="5212" w:type="pct"/>
        <w:tblInd w:w="-275" w:type="dxa"/>
        <w:tblLayout w:type="fixed"/>
        <w:tblLook w:val="04A0" w:firstRow="1" w:lastRow="0" w:firstColumn="1" w:lastColumn="0" w:noHBand="0" w:noVBand="1"/>
      </w:tblPr>
      <w:tblGrid>
        <w:gridCol w:w="265"/>
        <w:gridCol w:w="1444"/>
        <w:gridCol w:w="2341"/>
        <w:gridCol w:w="9449"/>
      </w:tblGrid>
      <w:tr w:rsidR="00853399" w:rsidTr="00853399" w14:paraId="1697F280" w14:textId="77777777">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98" w:type="pct"/>
          </w:tcPr>
          <w:p w:rsidRPr="00E64510" w:rsidR="00853399" w:rsidP="00BD190E" w:rsidRDefault="00853399" w14:paraId="304B9AC1" w14:textId="77777777">
            <w:pPr>
              <w:spacing w:after="120" w:line="24" w:lineRule="atLeast"/>
            </w:pPr>
          </w:p>
        </w:tc>
        <w:tc>
          <w:tcPr>
            <w:tcW w:w="535" w:type="pct"/>
          </w:tcPr>
          <w:p w:rsidRPr="00E64510" w:rsidR="00853399" w:rsidP="00BD190E" w:rsidRDefault="00853399" w14:paraId="5F7CA5E5" w14:textId="77777777">
            <w:pPr>
              <w:spacing w:after="120" w:line="24" w:lineRule="atLeast"/>
              <w:jc w:val="center"/>
              <w:cnfStyle w:val="100000000000" w:firstRow="1" w:lastRow="0" w:firstColumn="0" w:lastColumn="0" w:oddVBand="0" w:evenVBand="0" w:oddHBand="0" w:evenHBand="0" w:firstRowFirstColumn="0" w:firstRowLastColumn="0" w:lastRowFirstColumn="0" w:lastRowLastColumn="0"/>
            </w:pPr>
            <w:r>
              <w:t>Focus Area</w:t>
            </w:r>
          </w:p>
        </w:tc>
        <w:tc>
          <w:tcPr>
            <w:tcW w:w="867" w:type="pct"/>
          </w:tcPr>
          <w:p w:rsidR="00853399" w:rsidP="00BD190E" w:rsidRDefault="00853399" w14:paraId="4BF51C7B" w14:textId="77777777">
            <w:pPr>
              <w:spacing w:after="120" w:line="24" w:lineRule="atLeast"/>
              <w:jc w:val="center"/>
              <w:cnfStyle w:val="100000000000" w:firstRow="1" w:lastRow="0" w:firstColumn="0" w:lastColumn="0" w:oddVBand="0" w:evenVBand="0" w:oddHBand="0" w:evenHBand="0" w:firstRowFirstColumn="0" w:firstRowLastColumn="0" w:lastRowFirstColumn="0" w:lastRowLastColumn="0"/>
            </w:pPr>
            <w:r>
              <w:t>Patient Perspective</w:t>
            </w:r>
          </w:p>
        </w:tc>
        <w:tc>
          <w:tcPr>
            <w:tcW w:w="3500" w:type="pct"/>
          </w:tcPr>
          <w:p w:rsidR="00853399" w:rsidP="00BD190E" w:rsidRDefault="00853399" w14:paraId="15526FCE" w14:textId="77777777">
            <w:pPr>
              <w:spacing w:after="120" w:line="24" w:lineRule="atLeast"/>
              <w:jc w:val="center"/>
              <w:cnfStyle w:val="100000000000" w:firstRow="1" w:lastRow="0" w:firstColumn="0" w:lastColumn="0" w:oddVBand="0" w:evenVBand="0" w:oddHBand="0" w:evenHBand="0" w:firstRowFirstColumn="0" w:firstRowLastColumn="0" w:lastRowFirstColumn="0" w:lastRowLastColumn="0"/>
            </w:pPr>
            <w:r>
              <w:t>Operational Details</w:t>
            </w:r>
          </w:p>
        </w:tc>
      </w:tr>
      <w:tr w:rsidR="00853399" w:rsidTr="00853399" w14:paraId="1536F954" w14:textId="7777777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98" w:type="pct"/>
          </w:tcPr>
          <w:p w:rsidRPr="00E64510" w:rsidR="00853399" w:rsidP="00BD190E" w:rsidRDefault="00853399" w14:paraId="5E3EE8F9" w14:textId="3BA5A41C">
            <w:pPr>
              <w:spacing w:after="120" w:line="24" w:lineRule="atLeast"/>
            </w:pPr>
            <w:r>
              <w:t>1</w:t>
            </w:r>
          </w:p>
        </w:tc>
        <w:tc>
          <w:tcPr>
            <w:tcW w:w="535" w:type="pct"/>
          </w:tcPr>
          <w:p w:rsidR="00853399" w:rsidP="00BD190E" w:rsidRDefault="00853399" w14:paraId="2E7C7572" w14:textId="1070BEA2">
            <w:pPr>
              <w:keepNext/>
              <w:keepLines/>
              <w:spacing w:after="120" w:line="24" w:lineRule="atLeast"/>
              <w:outlineLvl w:val="1"/>
              <w:cnfStyle w:val="000000100000" w:firstRow="0" w:lastRow="0" w:firstColumn="0" w:lastColumn="0" w:oddVBand="0" w:evenVBand="0" w:oddHBand="1" w:evenHBand="0" w:firstRowFirstColumn="0" w:firstRowLastColumn="0" w:lastRowFirstColumn="0" w:lastRowLastColumn="0"/>
              <w:rPr>
                <w:rFonts w:eastAsiaTheme="majorEastAsia" w:cstheme="majorBidi"/>
                <w:b/>
              </w:rPr>
            </w:pPr>
            <w:commentRangeStart w:id="0"/>
            <w:r w:rsidRPr="00853399">
              <w:rPr>
                <w:rFonts w:eastAsiaTheme="majorEastAsia" w:cstheme="majorBidi"/>
                <w:b/>
                <w:color w:val="EE0000"/>
              </w:rPr>
              <w:t xml:space="preserve">Prevention </w:t>
            </w:r>
            <w:r>
              <w:rPr>
                <w:rFonts w:eastAsiaTheme="majorEastAsia" w:cstheme="majorBidi"/>
                <w:b/>
                <w:color w:val="EE0000"/>
              </w:rPr>
              <w:t>&amp; Delaying Progression</w:t>
            </w:r>
            <w:commentRangeEnd w:id="0"/>
            <w:r>
              <w:rPr>
                <w:rStyle w:val="CommentReference"/>
              </w:rPr>
              <w:commentReference w:id="0"/>
            </w:r>
          </w:p>
        </w:tc>
        <w:tc>
          <w:tcPr>
            <w:tcW w:w="867" w:type="pct"/>
          </w:tcPr>
          <w:p w:rsidRPr="00FB291A" w:rsidR="00853399" w:rsidP="00BD190E" w:rsidRDefault="00853399" w14:paraId="77B259D9" w14:textId="687F2F0C">
            <w:pPr>
              <w:spacing w:after="120" w:line="24" w:lineRule="atLeast"/>
              <w:cnfStyle w:val="000000100000" w:firstRow="0" w:lastRow="0" w:firstColumn="0" w:lastColumn="0" w:oddVBand="0" w:evenVBand="0" w:oddHBand="1" w:evenHBand="0" w:firstRowFirstColumn="0" w:firstRowLastColumn="0" w:lastRowFirstColumn="0" w:lastRowLastColumn="0"/>
              <w:rPr>
                <w:i/>
              </w:rPr>
            </w:pPr>
          </w:p>
        </w:tc>
        <w:tc>
          <w:tcPr>
            <w:tcW w:w="3500" w:type="pct"/>
          </w:tcPr>
          <w:p w:rsidR="00250019" w:rsidP="00250019" w:rsidRDefault="00853399" w14:paraId="2BAB08D3" w14:textId="6FF4808F">
            <w:pPr>
              <w:spacing w:after="120" w:line="24" w:lineRule="atLeast"/>
              <w:cnfStyle w:val="000000100000" w:firstRow="0" w:lastRow="0" w:firstColumn="0" w:lastColumn="0" w:oddVBand="0" w:evenVBand="0" w:oddHBand="1" w:evenHBand="0" w:firstRowFirstColumn="0" w:firstRowLastColumn="0" w:lastRowFirstColumn="0" w:lastRowLastColumn="0"/>
            </w:pPr>
            <w:r>
              <w:rPr>
                <w:b/>
                <w:color w:val="ED7D31" w:themeColor="accent2"/>
              </w:rPr>
              <w:t>Current State</w:t>
            </w:r>
            <w:r w:rsidR="00F448E2">
              <w:rPr>
                <w:b/>
                <w:color w:val="ED7D31" w:themeColor="accent2"/>
              </w:rPr>
              <w:t xml:space="preserve">: </w:t>
            </w:r>
            <w:r w:rsidRPr="00250019" w:rsidR="00250019">
              <w:t xml:space="preserve">While some providers routinely screen for </w:t>
            </w:r>
            <w:r w:rsidR="00250019">
              <w:t xml:space="preserve">or address modifiable risk factors for </w:t>
            </w:r>
            <w:r w:rsidRPr="00250019" w:rsidR="00250019">
              <w:t>dementia</w:t>
            </w:r>
            <w:r w:rsidR="00250019">
              <w:t xml:space="preserve">, </w:t>
            </w:r>
            <w:r w:rsidRPr="00250019" w:rsidR="00250019">
              <w:t xml:space="preserve">many </w:t>
            </w:r>
            <w:r w:rsidR="00250019">
              <w:t>patients</w:t>
            </w:r>
            <w:r w:rsidRPr="00250019" w:rsidR="00250019">
              <w:t xml:space="preserve"> are either unaware of—or unable to act on—</w:t>
            </w:r>
            <w:r w:rsidR="00250019">
              <w:t>these risk factors to prevent or delay progression of dementia</w:t>
            </w:r>
            <w:r w:rsidRPr="00250019" w:rsidR="00250019">
              <w:t xml:space="preserve">. Competing clinical priorities, social drivers of health, therapeutic inertia, and other system-level barriers hinder effective control of blood pressure, diabetes, obesity, and hyperlipidemia, as well as routine screening for hearing and vision loss. These prevention efforts are rarely framed in terms of brain health or dementia risk reduction, and providers may lack clarity about which risk factors have the strongest evidence, how to prioritize prevention across the life course, or how to </w:t>
            </w:r>
            <w:r w:rsidR="00250019">
              <w:t>emphasize</w:t>
            </w:r>
            <w:r w:rsidRPr="00250019" w:rsidR="00250019">
              <w:t xml:space="preserve"> risk reduction </w:t>
            </w:r>
            <w:r w:rsidR="00250019">
              <w:t xml:space="preserve">in the uncertainty of individual brain health outcomes. </w:t>
            </w:r>
          </w:p>
          <w:p w:rsidR="00853399" w:rsidP="00BD190E" w:rsidRDefault="00853399" w14:paraId="470FFFAD" w14:textId="06E4251F">
            <w:pPr>
              <w:spacing w:after="120" w:line="24" w:lineRule="atLeast"/>
              <w:cnfStyle w:val="000000100000" w:firstRow="0" w:lastRow="0" w:firstColumn="0" w:lastColumn="0" w:oddVBand="0" w:evenVBand="0" w:oddHBand="1" w:evenHBand="0" w:firstRowFirstColumn="0" w:firstRowLastColumn="0" w:lastRowFirstColumn="0" w:lastRowLastColumn="0"/>
              <w:rPr>
                <w:b/>
                <w:color w:val="ED7D31" w:themeColor="accent2"/>
              </w:rPr>
            </w:pPr>
            <w:r>
              <w:rPr>
                <w:b/>
                <w:color w:val="ED7D31" w:themeColor="accent2"/>
              </w:rPr>
              <w:t>Intermediate Steps</w:t>
            </w:r>
            <w:r w:rsidR="00F448E2">
              <w:rPr>
                <w:b/>
                <w:color w:val="ED7D31" w:themeColor="accent2"/>
              </w:rPr>
              <w:t>:</w:t>
            </w:r>
            <w:r w:rsidR="006D648C">
              <w:rPr>
                <w:b/>
                <w:color w:val="ED7D31" w:themeColor="accent2"/>
              </w:rPr>
              <w:t xml:space="preserve"> </w:t>
            </w:r>
            <w:r w:rsidRPr="00247060" w:rsidR="006D648C">
              <w:t xml:space="preserve">Practices work to </w:t>
            </w:r>
            <w:r w:rsidR="008147C7">
              <w:t xml:space="preserve">integrate dementia risk reduction across chronic disease prevention and management and understand the connection between modifiable risk factors and brain health. Clear guidelines are available on how to counsel patients and their families about risk reduction across the life course, and how to accurately discuss prevention strategies without promising brain health outcomes. </w:t>
            </w:r>
          </w:p>
          <w:p w:rsidR="00853399" w:rsidP="00BD190E" w:rsidRDefault="00853399" w14:paraId="4C752F7D" w14:textId="77777777">
            <w:pPr>
              <w:spacing w:after="120" w:line="24" w:lineRule="atLeast"/>
              <w:cnfStyle w:val="000000100000" w:firstRow="0" w:lastRow="0" w:firstColumn="0" w:lastColumn="0" w:oddVBand="0" w:evenVBand="0" w:oddHBand="1" w:evenHBand="0" w:firstRowFirstColumn="0" w:firstRowLastColumn="0" w:lastRowFirstColumn="0" w:lastRowLastColumn="0"/>
              <w:rPr>
                <w:b/>
                <w:color w:val="ED7D31" w:themeColor="accent2"/>
              </w:rPr>
            </w:pPr>
            <w:r>
              <w:rPr>
                <w:b/>
                <w:color w:val="ED7D31" w:themeColor="accent2"/>
              </w:rPr>
              <w:t>Optimal Care</w:t>
            </w:r>
            <w:r w:rsidR="00F448E2">
              <w:rPr>
                <w:b/>
                <w:color w:val="ED7D31" w:themeColor="accent2"/>
              </w:rPr>
              <w:t xml:space="preserve">: </w:t>
            </w:r>
          </w:p>
          <w:p w:rsidRPr="00723AB4" w:rsidR="009E2807" w:rsidP="009E2807" w:rsidRDefault="009E2807" w14:paraId="28B811E9" w14:textId="77777777">
            <w:pPr>
              <w:pStyle w:val="ListParagraph"/>
              <w:numPr>
                <w:ilvl w:val="0"/>
                <w:numId w:val="11"/>
              </w:numPr>
              <w:spacing w:after="120" w:line="24" w:lineRule="atLeast"/>
              <w:cnfStyle w:val="000000100000" w:firstRow="0" w:lastRow="0" w:firstColumn="0" w:lastColumn="0" w:oddVBand="0" w:evenVBand="0" w:oddHBand="1" w:evenHBand="0" w:firstRowFirstColumn="0" w:firstRowLastColumn="0" w:lastRowFirstColumn="0" w:lastRowLastColumn="0"/>
              <w:rPr>
                <w:b/>
                <w:color w:val="ED7D31" w:themeColor="accent2"/>
              </w:rPr>
            </w:pPr>
            <w:r w:rsidRPr="006E1991">
              <w:t xml:space="preserve">The </w:t>
            </w:r>
            <w:r w:rsidRPr="00247060">
              <w:t>patient has an identified primary care provider</w:t>
            </w:r>
          </w:p>
          <w:p w:rsidRPr="00723AB4" w:rsidR="00723AB4" w:rsidP="00723AB4" w:rsidRDefault="00723AB4" w14:paraId="36EE0B39" w14:textId="77777777">
            <w:pPr>
              <w:pStyle w:val="ListParagraph"/>
              <w:numPr>
                <w:ilvl w:val="0"/>
                <w:numId w:val="11"/>
              </w:numPr>
              <w:spacing w:after="120" w:line="24" w:lineRule="atLeast"/>
              <w:cnfStyle w:val="000000100000" w:firstRow="0" w:lastRow="0" w:firstColumn="0" w:lastColumn="0" w:oddVBand="0" w:evenVBand="0" w:oddHBand="1" w:evenHBand="0" w:firstRowFirstColumn="0" w:firstRowLastColumn="0" w:lastRowFirstColumn="0" w:lastRowLastColumn="0"/>
              <w:rPr>
                <w:b/>
                <w:color w:val="ED7D31" w:themeColor="accent2"/>
              </w:rPr>
            </w:pPr>
            <w:r>
              <w:t>Dementia risk reduction is embedded into routine chronic disease prevention and healthy aging care, rather than treated as a standalone initiative</w:t>
            </w:r>
          </w:p>
          <w:p w:rsidRPr="00A50C46" w:rsidR="00A50C46" w:rsidP="00A50C46" w:rsidRDefault="00723AB4" w14:paraId="1B339CF2" w14:textId="77777777">
            <w:pPr>
              <w:pStyle w:val="ListParagraph"/>
              <w:numPr>
                <w:ilvl w:val="0"/>
                <w:numId w:val="11"/>
              </w:numPr>
              <w:spacing w:after="120" w:line="24" w:lineRule="atLeast"/>
              <w:cnfStyle w:val="000000100000" w:firstRow="0" w:lastRow="0" w:firstColumn="0" w:lastColumn="0" w:oddVBand="0" w:evenVBand="0" w:oddHBand="1" w:evenHBand="0" w:firstRowFirstColumn="0" w:firstRowLastColumn="0" w:lastRowFirstColumn="0" w:lastRowLastColumn="0"/>
              <w:rPr>
                <w:b/>
                <w:color w:val="ED7D31" w:themeColor="accent2"/>
              </w:rPr>
            </w:pPr>
            <w:r>
              <w:t>Providers routinely frame management of cardiovascular and metabolic conditions as part of brain health and dementia risk reduction, using consistent, evidence-based messaging</w:t>
            </w:r>
          </w:p>
          <w:p w:rsidRPr="00A50C46" w:rsidR="00A50C46" w:rsidP="00A50C46" w:rsidRDefault="00A50C46" w14:paraId="07C33CF4" w14:textId="77777777">
            <w:pPr>
              <w:pStyle w:val="ListParagraph"/>
              <w:numPr>
                <w:ilvl w:val="0"/>
                <w:numId w:val="11"/>
              </w:numPr>
              <w:spacing w:after="120" w:line="24" w:lineRule="atLeast"/>
              <w:cnfStyle w:val="000000100000" w:firstRow="0" w:lastRow="0" w:firstColumn="0" w:lastColumn="0" w:oddVBand="0" w:evenVBand="0" w:oddHBand="1" w:evenHBand="0" w:firstRowFirstColumn="0" w:firstRowLastColumn="0" w:lastRowFirstColumn="0" w:lastRowLastColumn="0"/>
              <w:rPr>
                <w:b/>
                <w:color w:val="ED7D31" w:themeColor="accent2"/>
              </w:rPr>
            </w:pPr>
            <w:r>
              <w:t>Prevention efforts recognize reduction of risk across the life course but prioritize midlife and early older adulthood as key timepoints for intervention</w:t>
            </w:r>
          </w:p>
          <w:p w:rsidRPr="007A31E3" w:rsidR="007A31E3" w:rsidP="007A31E3" w:rsidRDefault="00A50C46" w14:paraId="75157BB1" w14:textId="3120268D">
            <w:pPr>
              <w:pStyle w:val="ListParagraph"/>
              <w:numPr>
                <w:ilvl w:val="0"/>
                <w:numId w:val="11"/>
              </w:numPr>
              <w:spacing w:after="120" w:line="24" w:lineRule="atLeast"/>
              <w:cnfStyle w:val="000000100000" w:firstRow="0" w:lastRow="0" w:firstColumn="0" w:lastColumn="0" w:oddVBand="0" w:evenVBand="0" w:oddHBand="1" w:evenHBand="0" w:firstRowFirstColumn="0" w:firstRowLastColumn="0" w:lastRowFirstColumn="0" w:lastRowLastColumn="0"/>
              <w:rPr>
                <w:b/>
                <w:color w:val="ED7D31" w:themeColor="accent2"/>
              </w:rPr>
            </w:pPr>
            <w:r>
              <w:t>Hearing and vision are routinely assessed and appropriately addresse</w:t>
            </w:r>
            <w:r w:rsidR="007A31E3">
              <w:t>d</w:t>
            </w:r>
          </w:p>
          <w:p w:rsidRPr="007A31E3" w:rsidR="007A31E3" w:rsidP="007A31E3" w:rsidRDefault="00A50C46" w14:paraId="1C69CD41" w14:textId="77777777">
            <w:pPr>
              <w:pStyle w:val="ListParagraph"/>
              <w:numPr>
                <w:ilvl w:val="0"/>
                <w:numId w:val="11"/>
              </w:numPr>
              <w:spacing w:after="120" w:line="24" w:lineRule="atLeast"/>
              <w:cnfStyle w:val="000000100000" w:firstRow="0" w:lastRow="0" w:firstColumn="0" w:lastColumn="0" w:oddVBand="0" w:evenVBand="0" w:oddHBand="1" w:evenHBand="0" w:firstRowFirstColumn="0" w:firstRowLastColumn="0" w:lastRowFirstColumn="0" w:lastRowLastColumn="0"/>
              <w:rPr>
                <w:b/>
                <w:color w:val="ED7D31" w:themeColor="accent2"/>
              </w:rPr>
            </w:pPr>
            <w:r>
              <w:t xml:space="preserve">Depression, anxiety and social isolation are </w:t>
            </w:r>
            <w:r w:rsidR="009F38B1">
              <w:t>proactively identified and addressed through integrated behavioral health, care management, and community partnerships</w:t>
            </w:r>
          </w:p>
          <w:p w:rsidRPr="007A31E3" w:rsidR="00A50C46" w:rsidP="007A31E3" w:rsidRDefault="007A31E3" w14:paraId="4BD0681D" w14:textId="2F858A87">
            <w:pPr>
              <w:pStyle w:val="ListParagraph"/>
              <w:numPr>
                <w:ilvl w:val="0"/>
                <w:numId w:val="11"/>
              </w:numPr>
              <w:spacing w:after="120" w:line="24" w:lineRule="atLeast"/>
              <w:cnfStyle w:val="000000100000" w:firstRow="0" w:lastRow="0" w:firstColumn="0" w:lastColumn="0" w:oddVBand="0" w:evenVBand="0" w:oddHBand="1" w:evenHBand="0" w:firstRowFirstColumn="0" w:firstRowLastColumn="0" w:lastRowFirstColumn="0" w:lastRowLastColumn="0"/>
              <w:rPr>
                <w:b/>
                <w:color w:val="ED7D31" w:themeColor="accent2"/>
              </w:rPr>
            </w:pPr>
            <w:r>
              <w:t>Providers feel comfortable discussing dementia risk reduction with patients, including acknowledging uncertainty and emphasizing actions that support overall health and functioning</w:t>
            </w:r>
          </w:p>
        </w:tc>
      </w:tr>
      <w:tr w:rsidR="00853399" w:rsidTr="00853399" w14:paraId="235E3FF2" w14:textId="77777777">
        <w:trPr>
          <w:trHeight w:val="710"/>
        </w:trPr>
        <w:tc>
          <w:tcPr>
            <w:cnfStyle w:val="001000000000" w:firstRow="0" w:lastRow="0" w:firstColumn="1" w:lastColumn="0" w:oddVBand="0" w:evenVBand="0" w:oddHBand="0" w:evenHBand="0" w:firstRowFirstColumn="0" w:firstRowLastColumn="0" w:lastRowFirstColumn="0" w:lastRowLastColumn="0"/>
            <w:tcW w:w="98" w:type="pct"/>
          </w:tcPr>
          <w:p w:rsidRPr="00E64510" w:rsidR="00853399" w:rsidP="00BD190E" w:rsidRDefault="00853399" w14:paraId="7907C85B" w14:textId="77777777">
            <w:pPr>
              <w:spacing w:after="120" w:line="24" w:lineRule="atLeast"/>
            </w:pPr>
          </w:p>
        </w:tc>
        <w:tc>
          <w:tcPr>
            <w:tcW w:w="535" w:type="pct"/>
          </w:tcPr>
          <w:p w:rsidRPr="00AC5BBE" w:rsidR="00853399" w:rsidP="00BD190E" w:rsidRDefault="00853399" w14:paraId="3A9E37C8" w14:textId="64B56972">
            <w:pPr>
              <w:keepNext/>
              <w:keepLines/>
              <w:spacing w:after="120" w:line="24" w:lineRule="atLeast"/>
              <w:outlineLvl w:val="1"/>
              <w:cnfStyle w:val="000000000000" w:firstRow="0" w:lastRow="0" w:firstColumn="0" w:lastColumn="0" w:oddVBand="0" w:evenVBand="0" w:oddHBand="0" w:evenHBand="0" w:firstRowFirstColumn="0" w:firstRowLastColumn="0" w:lastRowFirstColumn="0" w:lastRowLastColumn="0"/>
              <w:rPr>
                <w:rFonts w:eastAsiaTheme="majorEastAsia" w:cstheme="majorBidi"/>
                <w:b/>
              </w:rPr>
            </w:pPr>
            <w:bookmarkStart w:name="_Toc493574740" w:id="1"/>
            <w:commentRangeStart w:id="2"/>
            <w:r w:rsidRPr="00853399">
              <w:rPr>
                <w:rFonts w:eastAsiaTheme="majorEastAsia" w:cstheme="majorBidi"/>
                <w:b/>
                <w:color w:val="EE0000"/>
              </w:rPr>
              <w:t xml:space="preserve">Early Detection &amp; </w:t>
            </w:r>
            <w:r>
              <w:rPr>
                <w:rFonts w:eastAsiaTheme="majorEastAsia" w:cstheme="majorBidi"/>
                <w:b/>
              </w:rPr>
              <w:t>Diagnosis</w:t>
            </w:r>
            <w:bookmarkEnd w:id="1"/>
            <w:r>
              <w:rPr>
                <w:rFonts w:eastAsiaTheme="majorEastAsia" w:cstheme="majorBidi"/>
                <w:b/>
              </w:rPr>
              <w:t xml:space="preserve"> </w:t>
            </w:r>
            <w:commentRangeEnd w:id="2"/>
            <w:r>
              <w:rPr>
                <w:rStyle w:val="CommentReference"/>
              </w:rPr>
              <w:commentReference w:id="2"/>
            </w:r>
          </w:p>
        </w:tc>
        <w:tc>
          <w:tcPr>
            <w:tcW w:w="867" w:type="pct"/>
          </w:tcPr>
          <w:p w:rsidRPr="008C517B" w:rsidR="00853399" w:rsidP="00BD190E" w:rsidRDefault="00853399" w14:paraId="62CEBCB6" w14:textId="77777777">
            <w:pPr>
              <w:spacing w:after="120" w:line="24" w:lineRule="atLeast"/>
              <w:cnfStyle w:val="000000000000" w:firstRow="0" w:lastRow="0" w:firstColumn="0" w:lastColumn="0" w:oddVBand="0" w:evenVBand="0" w:oddHBand="0" w:evenHBand="0" w:firstRowFirstColumn="0" w:firstRowLastColumn="0" w:lastRowFirstColumn="0" w:lastRowLastColumn="0"/>
              <w:rPr>
                <w:i/>
              </w:rPr>
            </w:pPr>
            <w:r w:rsidRPr="00FB291A">
              <w:rPr>
                <w:i/>
              </w:rPr>
              <w:t>I or my family mem</w:t>
            </w:r>
            <w:r>
              <w:rPr>
                <w:i/>
              </w:rPr>
              <w:t>bers have concerns about memory. M</w:t>
            </w:r>
            <w:r w:rsidRPr="00FB291A">
              <w:rPr>
                <w:i/>
              </w:rPr>
              <w:t xml:space="preserve">y care team </w:t>
            </w:r>
            <w:r>
              <w:rPr>
                <w:i/>
              </w:rPr>
              <w:t xml:space="preserve">talks with me about my concerns and </w:t>
            </w:r>
            <w:r w:rsidRPr="00FB291A">
              <w:rPr>
                <w:i/>
              </w:rPr>
              <w:t>helps me understand the cause of any trouble with thinking ability.</w:t>
            </w:r>
            <w:r>
              <w:t xml:space="preserve"> </w:t>
            </w:r>
            <w:r>
              <w:rPr>
                <w:i/>
              </w:rPr>
              <w:t xml:space="preserve">I </w:t>
            </w:r>
            <w:r w:rsidRPr="00E877F8">
              <w:rPr>
                <w:i/>
              </w:rPr>
              <w:t xml:space="preserve">know </w:t>
            </w:r>
            <w:r>
              <w:rPr>
                <w:i/>
              </w:rPr>
              <w:t xml:space="preserve">who to contact in case of urgent questions or situations and have thought about the type of care that I would want at different stages of the disease. </w:t>
            </w:r>
          </w:p>
        </w:tc>
        <w:tc>
          <w:tcPr>
            <w:tcW w:w="3500" w:type="pct"/>
          </w:tcPr>
          <w:p w:rsidRPr="00247060" w:rsidR="00853399" w:rsidP="00BD190E" w:rsidRDefault="00853399" w14:paraId="302A6FC7" w14:textId="77777777">
            <w:pPr>
              <w:spacing w:after="120" w:line="24" w:lineRule="atLeast"/>
              <w:cnfStyle w:val="000000000000" w:firstRow="0" w:lastRow="0" w:firstColumn="0" w:lastColumn="0" w:oddVBand="0" w:evenVBand="0" w:oddHBand="0" w:evenHBand="0" w:firstRowFirstColumn="0" w:firstRowLastColumn="0" w:lastRowFirstColumn="0" w:lastRowLastColumn="0"/>
            </w:pPr>
            <w:r>
              <w:rPr>
                <w:b/>
                <w:color w:val="ED7D31" w:themeColor="accent2"/>
              </w:rPr>
              <w:t>Current State</w:t>
            </w:r>
            <w:r w:rsidRPr="004C5D40">
              <w:rPr>
                <w:b/>
                <w:color w:val="ED7D31" w:themeColor="accent2"/>
              </w:rPr>
              <w:t>:</w:t>
            </w:r>
            <w:r w:rsidRPr="004C5D40">
              <w:rPr>
                <w:color w:val="ED7D31" w:themeColor="accent2"/>
              </w:rPr>
              <w:t xml:space="preserve"> </w:t>
            </w:r>
            <w:r w:rsidRPr="00247060">
              <w:t xml:space="preserve">While some providers may routinely screen for or discuss cognitive issues with patients, in many cases issues with memory and </w:t>
            </w:r>
            <w:r w:rsidRPr="001278EB">
              <w:t xml:space="preserve">cognition are only addressed if they are brought up by the patient or family member(s). Once brought up by the patient or family member, issues with memory or cognition may be adequately addressed by the provider. In some cases there may be no clinical follow-up. The provider may be unsure as to screening tools, how to utilize the Medicare </w:t>
            </w:r>
            <w:r>
              <w:t>Annual W</w:t>
            </w:r>
            <w:r w:rsidRPr="001278EB">
              <w:t xml:space="preserve">ellness </w:t>
            </w:r>
            <w:r>
              <w:t>Visit</w:t>
            </w:r>
            <w:r w:rsidRPr="001278EB">
              <w:t>, or next steps and may not feel comfortable discussing cognitive issues due to lack of training and lack of a system-wide protocol for addressing cognitive concerns. Primary care providers may diagnose dementia or may refer to a specialist (i.e., neurologist, geriatric psychiatrist) for diagnosis if one is available within the health care system. Specialty consultation may be unavailable.</w:t>
            </w:r>
          </w:p>
          <w:p w:rsidRPr="00247060" w:rsidR="00853399" w:rsidP="00BD190E" w:rsidRDefault="00853399" w14:paraId="670F0114" w14:textId="77777777">
            <w:pPr>
              <w:spacing w:after="120" w:line="24" w:lineRule="atLeast"/>
              <w:cnfStyle w:val="000000000000" w:firstRow="0" w:lastRow="0" w:firstColumn="0" w:lastColumn="0" w:oddVBand="0" w:evenVBand="0" w:oddHBand="0" w:evenHBand="0" w:firstRowFirstColumn="0" w:firstRowLastColumn="0" w:lastRowFirstColumn="0" w:lastRowLastColumn="0"/>
            </w:pPr>
            <w:r>
              <w:rPr>
                <w:b/>
                <w:color w:val="ED7D31" w:themeColor="accent2"/>
              </w:rPr>
              <w:t xml:space="preserve">Intermediate </w:t>
            </w:r>
            <w:r w:rsidRPr="000F7EBB">
              <w:rPr>
                <w:b/>
                <w:color w:val="ED7D31" w:themeColor="accent2"/>
              </w:rPr>
              <w:t>Steps</w:t>
            </w:r>
            <w:r w:rsidRPr="00554C92">
              <w:rPr>
                <w:color w:val="FFC000"/>
              </w:rPr>
              <w:t>:</w:t>
            </w:r>
            <w:r w:rsidRPr="000F7EBB">
              <w:t xml:space="preserve"> </w:t>
            </w:r>
            <w:r w:rsidRPr="00247060">
              <w:t xml:space="preserve">Practices work to increase providers’ level of comfort and expertise in diagnosing and discussing a dementia diagnosis, increasing understanding that this diagnosis is within the primary care scope of practice. Clear guidelines are available on how to make the diagnosis using validated tools with the expectation that the provider will truthfully discuss the diagnosis with the patient and </w:t>
            </w:r>
            <w:r w:rsidRPr="001278EB">
              <w:t xml:space="preserve">family and record the diagnosis in the medical record.  Practices may pilot screening programs with select populations, reporting on lessons learned before implementing wider screening. Primary care providers </w:t>
            </w:r>
            <w:r w:rsidRPr="00247060">
              <w:t xml:space="preserve">involve a neurologist </w:t>
            </w:r>
            <w:r>
              <w:t xml:space="preserve">or other specialist </w:t>
            </w:r>
            <w:r w:rsidRPr="00247060">
              <w:t xml:space="preserve">as needed for consultation and support or for differential diagnosis.  </w:t>
            </w:r>
          </w:p>
          <w:p w:rsidR="00853399" w:rsidP="00BD190E" w:rsidRDefault="00853399" w14:paraId="45A949A9" w14:textId="77777777">
            <w:pPr>
              <w:spacing w:after="120" w:line="24" w:lineRule="atLeast"/>
              <w:cnfStyle w:val="000000000000" w:firstRow="0" w:lastRow="0" w:firstColumn="0" w:lastColumn="0" w:oddVBand="0" w:evenVBand="0" w:oddHBand="0" w:evenHBand="0" w:firstRowFirstColumn="0" w:firstRowLastColumn="0" w:lastRowFirstColumn="0" w:lastRowLastColumn="0"/>
              <w:rPr>
                <w:color w:val="ED7D31" w:themeColor="accent2"/>
              </w:rPr>
            </w:pPr>
            <w:r w:rsidRPr="00336463">
              <w:rPr>
                <w:b/>
                <w:color w:val="ED7D31" w:themeColor="accent2"/>
              </w:rPr>
              <w:t>Optimal Care:</w:t>
            </w:r>
            <w:r w:rsidRPr="00336463">
              <w:rPr>
                <w:color w:val="ED7D31" w:themeColor="accent2"/>
              </w:rPr>
              <w:t xml:space="preserve"> </w:t>
            </w:r>
          </w:p>
          <w:p w:rsidR="00853399" w:rsidP="00BD190E" w:rsidRDefault="00853399" w14:paraId="0A7BB9BB" w14:textId="77777777">
            <w:pPr>
              <w:pStyle w:val="ListParagraph"/>
              <w:numPr>
                <w:ilvl w:val="0"/>
                <w:numId w:val="1"/>
              </w:numPr>
              <w:spacing w:after="120" w:line="24" w:lineRule="atLeast"/>
              <w:cnfStyle w:val="000000000000" w:firstRow="0" w:lastRow="0" w:firstColumn="0" w:lastColumn="0" w:oddVBand="0" w:evenVBand="0" w:oddHBand="0" w:evenHBand="0" w:firstRowFirstColumn="0" w:firstRowLastColumn="0" w:lastRowFirstColumn="0" w:lastRowLastColumn="0"/>
            </w:pPr>
            <w:r w:rsidRPr="006E1991">
              <w:t xml:space="preserve">The </w:t>
            </w:r>
            <w:r w:rsidRPr="00247060">
              <w:t xml:space="preserve">patient has an identified primary care provider. </w:t>
            </w:r>
          </w:p>
          <w:p w:rsidR="00853399" w:rsidP="00BD190E" w:rsidRDefault="00853399" w14:paraId="4790EC89" w14:textId="77777777">
            <w:pPr>
              <w:pStyle w:val="ListParagraph"/>
              <w:numPr>
                <w:ilvl w:val="0"/>
                <w:numId w:val="1"/>
              </w:numPr>
              <w:spacing w:after="120" w:line="24" w:lineRule="atLeast"/>
              <w:cnfStyle w:val="000000000000" w:firstRow="0" w:lastRow="0" w:firstColumn="0" w:lastColumn="0" w:oddVBand="0" w:evenVBand="0" w:oddHBand="0" w:evenHBand="0" w:firstRowFirstColumn="0" w:firstRowLastColumn="0" w:lastRowFirstColumn="0" w:lastRowLastColumn="0"/>
            </w:pPr>
            <w:r w:rsidRPr="00247060">
              <w:t xml:space="preserve">Patient and family members receive coordinated care as part of an interdisciplinary team that </w:t>
            </w:r>
            <w:r>
              <w:t>has</w:t>
            </w:r>
            <w:r w:rsidRPr="00247060">
              <w:t xml:space="preserve"> been trained in how to talk about cognitive impairment. This may include support staff in </w:t>
            </w:r>
            <w:r>
              <w:t xml:space="preserve">the </w:t>
            </w:r>
            <w:r w:rsidRPr="00247060">
              <w:t xml:space="preserve">primary care provider office, specialists such as neurology consultation, and community partners. </w:t>
            </w:r>
          </w:p>
          <w:p w:rsidR="00853399" w:rsidP="00BD190E" w:rsidRDefault="00853399" w14:paraId="1DCF270D" w14:textId="77777777">
            <w:pPr>
              <w:pStyle w:val="ListParagraph"/>
              <w:numPr>
                <w:ilvl w:val="0"/>
                <w:numId w:val="1"/>
              </w:numPr>
              <w:spacing w:after="120" w:line="24" w:lineRule="atLeast"/>
              <w:cnfStyle w:val="000000000000" w:firstRow="0" w:lastRow="0" w:firstColumn="0" w:lastColumn="0" w:oddVBand="0" w:evenVBand="0" w:oddHBand="0" w:evenHBand="0" w:firstRowFirstColumn="0" w:firstRowLastColumn="0" w:lastRowFirstColumn="0" w:lastRowLastColumn="0"/>
            </w:pPr>
            <w:r w:rsidRPr="00247060">
              <w:t>Family members or other caregivers are included in conversation</w:t>
            </w:r>
            <w:r>
              <w:t>s</w:t>
            </w:r>
            <w:r w:rsidRPr="00247060">
              <w:t xml:space="preserve"> and feel supported and heard. </w:t>
            </w:r>
          </w:p>
          <w:p w:rsidR="00853399" w:rsidP="00BD190E" w:rsidRDefault="00853399" w14:paraId="2F19EB0D" w14:textId="77777777">
            <w:pPr>
              <w:pStyle w:val="ListParagraph"/>
              <w:numPr>
                <w:ilvl w:val="0"/>
                <w:numId w:val="1"/>
              </w:numPr>
              <w:spacing w:after="120" w:line="24" w:lineRule="atLeast"/>
              <w:cnfStyle w:val="000000000000" w:firstRow="0" w:lastRow="0" w:firstColumn="0" w:lastColumn="0" w:oddVBand="0" w:evenVBand="0" w:oddHBand="0" w:evenHBand="0" w:firstRowFirstColumn="0" w:firstRowLastColumn="0" w:lastRowFirstColumn="0" w:lastRowLastColumn="0"/>
            </w:pPr>
            <w:r w:rsidRPr="00247060">
              <w:t xml:space="preserve">Primary care providers are clear on the value of early detection and feel comfortable truthfully discussing cognitive issues, understanding the uncertainty that can accompany the diagnosis. Mild cognitive impairment (MCI) or dementia is detected at an early stage. </w:t>
            </w:r>
          </w:p>
          <w:p w:rsidR="00853399" w:rsidP="00BD190E" w:rsidRDefault="00853399" w14:paraId="105B1696" w14:textId="77777777">
            <w:pPr>
              <w:pStyle w:val="ListParagraph"/>
              <w:numPr>
                <w:ilvl w:val="0"/>
                <w:numId w:val="1"/>
              </w:numPr>
              <w:spacing w:after="120" w:line="24" w:lineRule="atLeast"/>
              <w:cnfStyle w:val="000000000000" w:firstRow="0" w:lastRow="0" w:firstColumn="0" w:lastColumn="0" w:oddVBand="0" w:evenVBand="0" w:oddHBand="0" w:evenHBand="0" w:firstRowFirstColumn="0" w:firstRowLastColumn="0" w:lastRowFirstColumn="0" w:lastRowLastColumn="0"/>
            </w:pPr>
            <w:r>
              <w:t xml:space="preserve">Hearing loss is assessed and appropriately addressed (e.g., hearing aids, personal amplifiers) as hearing loss can complicate identification and treatment. </w:t>
            </w:r>
          </w:p>
          <w:p w:rsidR="00853399" w:rsidP="00BD190E" w:rsidRDefault="00853399" w14:paraId="117E2933" w14:textId="77777777">
            <w:pPr>
              <w:pStyle w:val="ListParagraph"/>
              <w:numPr>
                <w:ilvl w:val="0"/>
                <w:numId w:val="1"/>
              </w:numPr>
              <w:spacing w:after="120" w:line="24" w:lineRule="atLeast"/>
              <w:cnfStyle w:val="000000000000" w:firstRow="0" w:lastRow="0" w:firstColumn="0" w:lastColumn="0" w:oddVBand="0" w:evenVBand="0" w:oddHBand="0" w:evenHBand="0" w:firstRowFirstColumn="0" w:firstRowLastColumn="0" w:lastRowFirstColumn="0" w:lastRowLastColumn="0"/>
            </w:pPr>
            <w:r w:rsidRPr="00247060">
              <w:t>Diagnosis follows a two-stage clear clinical protocol with initial screening through the Medicare Annual Wellness visit or other visit in which cognitive impairment is detected with a bri</w:t>
            </w:r>
            <w:r>
              <w:t xml:space="preserve">ef (&lt;5 </w:t>
            </w:r>
            <w:r>
              <w:lastRenderedPageBreak/>
              <w:t>minutes), validated tool. D</w:t>
            </w:r>
            <w:r w:rsidRPr="00247060">
              <w:t>irect observation with consideration of information obtained by family members, friends</w:t>
            </w:r>
            <w:r>
              <w:t>,</w:t>
            </w:r>
            <w:r w:rsidRPr="00247060">
              <w:t xml:space="preserve"> or others</w:t>
            </w:r>
            <w:r>
              <w:t xml:space="preserve"> may also be used</w:t>
            </w:r>
            <w:r w:rsidRPr="00247060">
              <w:t xml:space="preserve">. </w:t>
            </w:r>
          </w:p>
          <w:p w:rsidR="00853399" w:rsidP="00BD190E" w:rsidRDefault="00853399" w14:paraId="2FFF3F8D" w14:textId="77777777">
            <w:pPr>
              <w:pStyle w:val="ListParagraph"/>
              <w:numPr>
                <w:ilvl w:val="1"/>
                <w:numId w:val="1"/>
              </w:numPr>
              <w:spacing w:after="120" w:line="24" w:lineRule="atLeast"/>
              <w:cnfStyle w:val="000000000000" w:firstRow="0" w:lastRow="0" w:firstColumn="0" w:lastColumn="0" w:oddVBand="0" w:evenVBand="0" w:oddHBand="0" w:evenHBand="0" w:firstRowFirstColumn="0" w:firstRowLastColumn="0" w:lastRowFirstColumn="0" w:lastRowLastColumn="0"/>
            </w:pPr>
            <w:r w:rsidRPr="00247060">
              <w:t>A positive finding is followed by additional evaluation and confirmation of the diagnosis</w:t>
            </w:r>
            <w:r>
              <w:t>,</w:t>
            </w:r>
            <w:r w:rsidRPr="00247060">
              <w:t xml:space="preserve"> if needed</w:t>
            </w:r>
            <w:r>
              <w:t xml:space="preserve">. </w:t>
            </w:r>
            <w:r w:rsidRPr="00247060">
              <w:t xml:space="preserve">Diagnosis follows the Alzheimer’s Association Medicare Annual Wellness Visit Algorithm for Assessment of Cognition outlined </w:t>
            </w:r>
            <w:r>
              <w:t xml:space="preserve">in </w:t>
            </w:r>
            <w:r w:rsidRPr="00A4448E">
              <w:rPr>
                <w:b/>
              </w:rPr>
              <w:t xml:space="preserve">Appendix D </w:t>
            </w:r>
            <w:r w:rsidRPr="00C43B2E">
              <w:t xml:space="preserve">and in a Clinical Provider Practice Tool outlined </w:t>
            </w:r>
            <w:hyperlink w:history="1" r:id="rId9">
              <w:r w:rsidRPr="00C43B2E">
                <w:rPr>
                  <w:rStyle w:val="Hyperlink"/>
                </w:rPr>
                <w:t>here</w:t>
              </w:r>
            </w:hyperlink>
            <w:r>
              <w:t xml:space="preserve">. </w:t>
            </w:r>
          </w:p>
          <w:p w:rsidR="00853399" w:rsidP="00BD190E" w:rsidRDefault="00853399" w14:paraId="6E35DCA3" w14:textId="77777777">
            <w:pPr>
              <w:pStyle w:val="ListParagraph"/>
              <w:numPr>
                <w:ilvl w:val="1"/>
                <w:numId w:val="1"/>
              </w:numPr>
              <w:spacing w:after="120" w:line="24" w:lineRule="atLeast"/>
              <w:cnfStyle w:val="000000000000" w:firstRow="0" w:lastRow="0" w:firstColumn="0" w:lastColumn="0" w:oddVBand="0" w:evenVBand="0" w:oddHBand="0" w:evenHBand="0" w:firstRowFirstColumn="0" w:firstRowLastColumn="0" w:lastRowFirstColumn="0" w:lastRowLastColumn="0"/>
            </w:pPr>
            <w:r>
              <w:t xml:space="preserve">The diagnosis conversation and any subsequent conversations follow the </w:t>
            </w:r>
            <w:hyperlink w:history="1" r:id="rId10">
              <w:r w:rsidRPr="0098421E">
                <w:rPr>
                  <w:rStyle w:val="Hyperlink"/>
                </w:rPr>
                <w:t>Alzheimer’s Association principles for a dignified diagnosis</w:t>
              </w:r>
            </w:hyperlink>
            <w:r>
              <w:t xml:space="preserve">, </w:t>
            </w:r>
            <w:r w:rsidRPr="00247060">
              <w:t xml:space="preserve">listed in </w:t>
            </w:r>
            <w:r w:rsidRPr="00A4448E">
              <w:rPr>
                <w:b/>
              </w:rPr>
              <w:t>Appendix E</w:t>
            </w:r>
            <w:r w:rsidRPr="00247060">
              <w:t xml:space="preserve">, and includes an advance care planning conversation (see #4). </w:t>
            </w:r>
            <w:r w:rsidRPr="00E24C24">
              <w:t xml:space="preserve">CPT code 99483 </w:t>
            </w:r>
            <w:r w:rsidRPr="00B83248">
              <w:t>(i.e., detailed structural assessment of dementia or Alzheimer’s disease performed by a clinician that cannot be done t</w:t>
            </w:r>
            <w:r>
              <w:t xml:space="preserve">he same day as an </w:t>
            </w:r>
            <w:r w:rsidRPr="001278EB">
              <w:t>office visit) can be billed for care planning services provided to individuals with cognitive impairment.</w:t>
            </w:r>
          </w:p>
        </w:tc>
      </w:tr>
      <w:tr w:rsidR="00853399" w:rsidTr="00853399" w14:paraId="257869C5" w14:textId="7777777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98" w:type="pct"/>
          </w:tcPr>
          <w:p w:rsidRPr="00247060" w:rsidR="00853399" w:rsidP="00BD190E" w:rsidRDefault="00853399" w14:paraId="71C7DB96" w14:textId="77777777">
            <w:pPr>
              <w:spacing w:after="120" w:line="24" w:lineRule="atLeast"/>
            </w:pPr>
          </w:p>
        </w:tc>
        <w:tc>
          <w:tcPr>
            <w:tcW w:w="535" w:type="pct"/>
          </w:tcPr>
          <w:p w:rsidRPr="00247060" w:rsidR="00853399" w:rsidP="00BD190E" w:rsidRDefault="00853399" w14:paraId="1B3FFDEF" w14:textId="77777777">
            <w:pPr>
              <w:keepNext/>
              <w:keepLines/>
              <w:spacing w:after="120" w:line="24" w:lineRule="atLeast"/>
              <w:outlineLvl w:val="1"/>
              <w:cnfStyle w:val="000000100000" w:firstRow="0" w:lastRow="0" w:firstColumn="0" w:lastColumn="0" w:oddVBand="0" w:evenVBand="0" w:oddHBand="1" w:evenHBand="0" w:firstRowFirstColumn="0" w:firstRowLastColumn="0" w:lastRowFirstColumn="0" w:lastRowLastColumn="0"/>
              <w:rPr>
                <w:rFonts w:eastAsiaTheme="majorEastAsia" w:cstheme="majorBidi"/>
                <w:b/>
              </w:rPr>
            </w:pPr>
            <w:bookmarkStart w:name="_Toc493574741" w:id="3"/>
            <w:commentRangeStart w:id="4"/>
            <w:r w:rsidRPr="00247060">
              <w:rPr>
                <w:rFonts w:eastAsiaTheme="majorEastAsia" w:cstheme="majorBidi"/>
                <w:b/>
              </w:rPr>
              <w:t>Ongoing Care and Support/Management</w:t>
            </w:r>
            <w:bookmarkEnd w:id="3"/>
            <w:commentRangeEnd w:id="4"/>
            <w:r>
              <w:rPr>
                <w:rStyle w:val="CommentReference"/>
              </w:rPr>
              <w:commentReference w:id="4"/>
            </w:r>
          </w:p>
        </w:tc>
        <w:tc>
          <w:tcPr>
            <w:tcW w:w="867" w:type="pct"/>
          </w:tcPr>
          <w:p w:rsidRPr="005F0AA0" w:rsidR="00853399" w:rsidP="00BD190E" w:rsidRDefault="00853399" w14:paraId="00FD77CB" w14:textId="77777777">
            <w:pPr>
              <w:spacing w:after="120" w:line="24" w:lineRule="atLeast"/>
              <w:cnfStyle w:val="000000100000" w:firstRow="0" w:lastRow="0" w:firstColumn="0" w:lastColumn="0" w:oddVBand="0" w:evenVBand="0" w:oddHBand="1" w:evenHBand="0" w:firstRowFirstColumn="0" w:firstRowLastColumn="0" w:lastRowFirstColumn="0" w:lastRowLastColumn="0"/>
              <w:rPr>
                <w:i/>
              </w:rPr>
            </w:pPr>
            <w:r w:rsidRPr="00247060">
              <w:rPr>
                <w:i/>
              </w:rPr>
              <w:t xml:space="preserve">Once I have a diagnosis, I and my family members feel hopeful that we/I can manage my cognitive </w:t>
            </w:r>
            <w:r>
              <w:rPr>
                <w:i/>
              </w:rPr>
              <w:t>diagnosis with my care team and family member(s).</w:t>
            </w:r>
          </w:p>
        </w:tc>
        <w:tc>
          <w:tcPr>
            <w:tcW w:w="3500" w:type="pct"/>
          </w:tcPr>
          <w:p w:rsidRPr="00247060" w:rsidR="00853399" w:rsidP="00BD190E" w:rsidRDefault="00853399" w14:paraId="16E9628B" w14:textId="77777777">
            <w:pPr>
              <w:spacing w:after="120" w:line="24" w:lineRule="atLeast"/>
              <w:cnfStyle w:val="000000100000" w:firstRow="0" w:lastRow="0" w:firstColumn="0" w:lastColumn="0" w:oddVBand="0" w:evenVBand="0" w:oddHBand="1" w:evenHBand="0" w:firstRowFirstColumn="0" w:firstRowLastColumn="0" w:lastRowFirstColumn="0" w:lastRowLastColumn="0"/>
            </w:pPr>
            <w:r>
              <w:rPr>
                <w:b/>
                <w:color w:val="ED7D31" w:themeColor="accent2"/>
              </w:rPr>
              <w:t>Current State</w:t>
            </w:r>
            <w:r w:rsidRPr="007A1709">
              <w:rPr>
                <w:b/>
                <w:color w:val="ED7D31" w:themeColor="accent2"/>
              </w:rPr>
              <w:t>:</w:t>
            </w:r>
            <w:r>
              <w:rPr>
                <w:b/>
                <w:color w:val="ED7D31" w:themeColor="accent2"/>
              </w:rPr>
              <w:t xml:space="preserve"> </w:t>
            </w:r>
            <w:r>
              <w:t xml:space="preserve">Patients </w:t>
            </w:r>
            <w:r w:rsidRPr="00247060">
              <w:t>experience significant variability in the type and number of interventions and support offered after diagnosis and throughout the disease course.</w:t>
            </w:r>
            <w:r w:rsidRPr="00247060">
              <w:rPr>
                <w:b/>
              </w:rPr>
              <w:t xml:space="preserve">  </w:t>
            </w:r>
            <w:r w:rsidRPr="00247060">
              <w:t xml:space="preserve">Patients and families are not consistently informed of treatment options, community services, or an answer to the question “I have a diagnosis, what do I do now?” and can feel lost. Providers may be unaware of the supports available in their community or there may be a lack of community support and providers are uncertain as to next steps. </w:t>
            </w:r>
          </w:p>
          <w:p w:rsidRPr="008A0A44" w:rsidR="00853399" w:rsidP="00BD190E" w:rsidRDefault="00853399" w14:paraId="12762007" w14:textId="77777777">
            <w:pPr>
              <w:spacing w:after="120" w:line="24" w:lineRule="atLeast"/>
              <w:cnfStyle w:val="000000100000" w:firstRow="0" w:lastRow="0" w:firstColumn="0" w:lastColumn="0" w:oddVBand="0" w:evenVBand="0" w:oddHBand="1" w:evenHBand="0" w:firstRowFirstColumn="0" w:firstRowLastColumn="0" w:lastRowFirstColumn="0" w:lastRowLastColumn="0"/>
              <w:rPr>
                <w:b/>
                <w:color w:val="ED7D31" w:themeColor="accent2"/>
              </w:rPr>
            </w:pPr>
            <w:r>
              <w:rPr>
                <w:b/>
                <w:color w:val="ED7D31" w:themeColor="accent2"/>
              </w:rPr>
              <w:t xml:space="preserve">Intermediate </w:t>
            </w:r>
            <w:r w:rsidRPr="000F7EBB">
              <w:rPr>
                <w:b/>
                <w:color w:val="ED7D31" w:themeColor="accent2"/>
              </w:rPr>
              <w:t>Steps</w:t>
            </w:r>
            <w:r w:rsidRPr="00C87430">
              <w:rPr>
                <w:color w:val="FFC000"/>
              </w:rPr>
              <w:t>:</w:t>
            </w:r>
            <w:r w:rsidRPr="000F7EBB">
              <w:t xml:space="preserve"> </w:t>
            </w:r>
            <w:r>
              <w:t>The practice has a pilot</w:t>
            </w:r>
            <w:r w:rsidRPr="003E21B1">
              <w:t xml:space="preserve"> </w:t>
            </w:r>
            <w:r>
              <w:t>p</w:t>
            </w:r>
            <w:r w:rsidRPr="00216A06">
              <w:t xml:space="preserve">athway for interventions and supports </w:t>
            </w:r>
            <w:r>
              <w:t xml:space="preserve">to offer </w:t>
            </w:r>
            <w:r w:rsidRPr="00216A06">
              <w:t>at different stages throughout the disease process</w:t>
            </w:r>
            <w:r>
              <w:t xml:space="preserve"> that may not be used for all appropriate patients. Family and caregivers may be part of the initial conversation, but may not feel supported throughout the disease process. </w:t>
            </w:r>
          </w:p>
          <w:p w:rsidR="00853399" w:rsidP="00BD190E" w:rsidRDefault="00853399" w14:paraId="58B76DFE" w14:textId="77777777">
            <w:pPr>
              <w:spacing w:after="120" w:line="24" w:lineRule="atLeast"/>
              <w:cnfStyle w:val="000000100000" w:firstRow="0" w:lastRow="0" w:firstColumn="0" w:lastColumn="0" w:oddVBand="0" w:evenVBand="0" w:oddHBand="1" w:evenHBand="0" w:firstRowFirstColumn="0" w:firstRowLastColumn="0" w:lastRowFirstColumn="0" w:lastRowLastColumn="0"/>
              <w:rPr>
                <w:color w:val="ED7D31" w:themeColor="accent2"/>
              </w:rPr>
            </w:pPr>
            <w:r w:rsidRPr="00156A3B">
              <w:rPr>
                <w:b/>
                <w:color w:val="ED7D31" w:themeColor="accent2"/>
              </w:rPr>
              <w:t>Optimal Care:</w:t>
            </w:r>
            <w:r w:rsidRPr="00156A3B">
              <w:rPr>
                <w:color w:val="ED7D31" w:themeColor="accent2"/>
              </w:rPr>
              <w:t xml:space="preserve"> </w:t>
            </w:r>
          </w:p>
          <w:p w:rsidR="00853399" w:rsidP="00BD190E" w:rsidRDefault="00853399" w14:paraId="1003895F" w14:textId="77777777">
            <w:pPr>
              <w:pStyle w:val="ListParagraph"/>
              <w:numPr>
                <w:ilvl w:val="0"/>
                <w:numId w:val="2"/>
              </w:numPr>
              <w:spacing w:after="120" w:line="24" w:lineRule="atLeast"/>
              <w:cnfStyle w:val="000000100000" w:firstRow="0" w:lastRow="0" w:firstColumn="0" w:lastColumn="0" w:oddVBand="0" w:evenVBand="0" w:oddHBand="1" w:evenHBand="0" w:firstRowFirstColumn="0" w:firstRowLastColumn="0" w:lastRowFirstColumn="0" w:lastRowLastColumn="0"/>
            </w:pPr>
            <w:r w:rsidRPr="00156A3B">
              <w:t xml:space="preserve">Patients are often best </w:t>
            </w:r>
            <w:r>
              <w:t>supported</w:t>
            </w:r>
            <w:r w:rsidRPr="00156A3B">
              <w:t xml:space="preserve"> by a care team</w:t>
            </w:r>
            <w:r>
              <w:t xml:space="preserve"> framework. The care team</w:t>
            </w:r>
            <w:r w:rsidRPr="00156A3B">
              <w:t xml:space="preserve"> may include providers outside of the practice</w:t>
            </w:r>
            <w:r>
              <w:t xml:space="preserve"> (e.g., specialty care)</w:t>
            </w:r>
            <w:r w:rsidRPr="00156A3B">
              <w:t xml:space="preserve">. </w:t>
            </w:r>
            <w:r w:rsidRPr="00247060">
              <w:t xml:space="preserve">Patients and family members are included as part of the care team with patient goals and </w:t>
            </w:r>
            <w:r w:rsidRPr="001278EB">
              <w:t>values being incorporated into the type of interventions offered</w:t>
            </w:r>
            <w:r>
              <w:t xml:space="preserve"> as well as consideration for comorbid conditions</w:t>
            </w:r>
            <w:r w:rsidRPr="001278EB">
              <w:t xml:space="preserve">. </w:t>
            </w:r>
          </w:p>
          <w:p w:rsidRPr="00ED1959" w:rsidR="00853399" w:rsidP="00BD190E" w:rsidRDefault="00853399" w14:paraId="72B9C671" w14:textId="77777777">
            <w:pPr>
              <w:pStyle w:val="ListParagraph"/>
              <w:numPr>
                <w:ilvl w:val="0"/>
                <w:numId w:val="2"/>
              </w:numPr>
              <w:spacing w:after="120" w:line="24" w:lineRule="atLeast"/>
              <w:cnfStyle w:val="000000100000" w:firstRow="0" w:lastRow="0" w:firstColumn="0" w:lastColumn="0" w:oddVBand="0" w:evenVBand="0" w:oddHBand="1" w:evenHBand="0" w:firstRowFirstColumn="0" w:firstRowLastColumn="0" w:lastRowFirstColumn="0" w:lastRowLastColumn="0"/>
            </w:pPr>
            <w:r w:rsidRPr="00ED1959">
              <w:rPr>
                <w:rFonts w:cstheme="minorHAnsi"/>
              </w:rPr>
              <w:t xml:space="preserve">Primary care teams routinely assess complexities of supporting patients with dementia and the needs of family care partners for enhanced support. </w:t>
            </w:r>
          </w:p>
          <w:p w:rsidRPr="00ED1959" w:rsidR="00853399" w:rsidP="00BD190E" w:rsidRDefault="00853399" w14:paraId="5BFEE173" w14:textId="77777777">
            <w:pPr>
              <w:pStyle w:val="ListParagraph"/>
              <w:numPr>
                <w:ilvl w:val="0"/>
                <w:numId w:val="2"/>
              </w:numPr>
              <w:spacing w:after="120" w:line="24" w:lineRule="atLeast"/>
              <w:cnfStyle w:val="000000100000" w:firstRow="0" w:lastRow="0" w:firstColumn="0" w:lastColumn="0" w:oddVBand="0" w:evenVBand="0" w:oddHBand="1" w:evenHBand="0" w:firstRowFirstColumn="0" w:firstRowLastColumn="0" w:lastRowFirstColumn="0" w:lastRowLastColumn="0"/>
            </w:pPr>
            <w:r w:rsidRPr="00ED1959">
              <w:rPr>
                <w:rFonts w:cstheme="minorHAnsi"/>
              </w:rPr>
              <w:t xml:space="preserve">Dementia care management services (e.g., home health, phone-support, enhanced outpatient management) are offered to patients or caregivers who have been determined to be high-risk. This high-risk group may include patients that have several medical comorbidities, complex </w:t>
            </w:r>
            <w:r w:rsidRPr="00ED1959">
              <w:rPr>
                <w:rFonts w:cstheme="minorHAnsi"/>
              </w:rPr>
              <w:lastRenderedPageBreak/>
              <w:t>medication regiments, behavioral/psychiatric symptoms, and/or history of frequent utilization of acute care services.  Care management services to consider may include: comprehensive in-home assessment by trained health care professionals; collaborative goal-setting between clinicians, care partners and patients; close follow-up and coordination of medical and psychosocial services and routine assessment of needs.</w:t>
            </w:r>
          </w:p>
          <w:p w:rsidR="00853399" w:rsidP="00BD190E" w:rsidRDefault="00853399" w14:paraId="5C1BD11E" w14:textId="77777777">
            <w:pPr>
              <w:pStyle w:val="ListParagraph"/>
              <w:numPr>
                <w:ilvl w:val="0"/>
                <w:numId w:val="2"/>
              </w:numPr>
              <w:spacing w:after="120" w:line="24" w:lineRule="atLeast"/>
              <w:cnfStyle w:val="000000100000" w:firstRow="0" w:lastRow="0" w:firstColumn="0" w:lastColumn="0" w:oddVBand="0" w:evenVBand="0" w:oddHBand="1" w:evenHBand="0" w:firstRowFirstColumn="0" w:firstRowLastColumn="0" w:lastRowFirstColumn="0" w:lastRowLastColumn="0"/>
            </w:pPr>
            <w:r>
              <w:t xml:space="preserve">Providers routinely consider a patient’s dementia diagnosis and comorbid conditions when making decisions to minimize unnecessary or harmful care. Providers </w:t>
            </w:r>
            <w:r w:rsidRPr="0079041B">
              <w:t>appropriately treat conditions that can worsen symptoms or lead to poor outcomes, including depression and existing medical issues.</w:t>
            </w:r>
          </w:p>
          <w:p w:rsidR="00853399" w:rsidP="00BD190E" w:rsidRDefault="00853399" w14:paraId="32324BA8" w14:textId="77777777">
            <w:pPr>
              <w:pStyle w:val="ListParagraph"/>
              <w:numPr>
                <w:ilvl w:val="0"/>
                <w:numId w:val="2"/>
              </w:numPr>
              <w:spacing w:after="120" w:line="24" w:lineRule="atLeast"/>
              <w:cnfStyle w:val="000000100000" w:firstRow="0" w:lastRow="0" w:firstColumn="0" w:lastColumn="0" w:oddVBand="0" w:evenVBand="0" w:oddHBand="1" w:evenHBand="0" w:firstRowFirstColumn="0" w:firstRowLastColumn="0" w:lastRowFirstColumn="0" w:lastRowLastColumn="0"/>
            </w:pPr>
            <w:r>
              <w:t>The care team</w:t>
            </w:r>
            <w:r w:rsidRPr="00247060">
              <w:t xml:space="preserve"> </w:t>
            </w:r>
            <w:r>
              <w:t>is able to</w:t>
            </w:r>
            <w:r w:rsidRPr="00247060">
              <w:t xml:space="preserve"> maximize functioning </w:t>
            </w:r>
            <w:r>
              <w:t xml:space="preserve">to </w:t>
            </w:r>
            <w:r w:rsidRPr="00247060">
              <w:t xml:space="preserve">meet patient and family needs at each stage of the disease. </w:t>
            </w:r>
          </w:p>
          <w:p w:rsidR="00853399" w:rsidP="00BD190E" w:rsidRDefault="00853399" w14:paraId="4E8D4B1D" w14:textId="77777777">
            <w:pPr>
              <w:pStyle w:val="ListParagraph"/>
              <w:numPr>
                <w:ilvl w:val="0"/>
                <w:numId w:val="2"/>
              </w:numPr>
              <w:spacing w:after="120" w:line="24" w:lineRule="atLeast"/>
              <w:cnfStyle w:val="000000100000" w:firstRow="0" w:lastRow="0" w:firstColumn="0" w:lastColumn="0" w:oddVBand="0" w:evenVBand="0" w:oddHBand="1" w:evenHBand="0" w:firstRowFirstColumn="0" w:firstRowLastColumn="0" w:lastRowFirstColumn="0" w:lastRowLastColumn="0"/>
            </w:pPr>
            <w:r w:rsidRPr="00247060">
              <w:t>Evidence-</w:t>
            </w:r>
            <w:r w:rsidRPr="00F14F73">
              <w:t xml:space="preserve">based interventions (e.g., exercise, diet modification) are suggested upon diagnosis and discussed during any follow-up visits. The care team </w:t>
            </w:r>
            <w:r>
              <w:t>assess and discusses</w:t>
            </w:r>
            <w:r w:rsidRPr="00F14F73">
              <w:t xml:space="preserve"> with the patient and family how to reduce risk of falls, </w:t>
            </w:r>
            <w:r>
              <w:t xml:space="preserve">how to optimize function and </w:t>
            </w:r>
            <w:r w:rsidRPr="00F14F73">
              <w:t xml:space="preserve"> mitigate confusion, </w:t>
            </w:r>
            <w:r>
              <w:t xml:space="preserve">how to </w:t>
            </w:r>
            <w:r w:rsidRPr="00F14F73">
              <w:t>manage medication(s), and</w:t>
            </w:r>
            <w:r>
              <w:t xml:space="preserve"> how to address</w:t>
            </w:r>
            <w:r w:rsidRPr="00F14F73">
              <w:t xml:space="preserve"> driving status and safety </w:t>
            </w:r>
            <w:r w:rsidRPr="00247060">
              <w:t>(outline</w:t>
            </w:r>
            <w:r>
              <w:t xml:space="preserve">d </w:t>
            </w:r>
            <w:hyperlink w:history="1" r:id="rId11">
              <w:r w:rsidRPr="00CD1111">
                <w:rPr>
                  <w:rStyle w:val="Hyperlink"/>
                </w:rPr>
                <w:t>here</w:t>
              </w:r>
            </w:hyperlink>
            <w:r>
              <w:t xml:space="preserve">). </w:t>
            </w:r>
          </w:p>
          <w:p w:rsidR="00853399" w:rsidP="00BD190E" w:rsidRDefault="00853399" w14:paraId="1D8784A2" w14:textId="77777777">
            <w:pPr>
              <w:pStyle w:val="ListParagraph"/>
              <w:numPr>
                <w:ilvl w:val="0"/>
                <w:numId w:val="2"/>
              </w:numPr>
              <w:spacing w:after="120" w:line="24" w:lineRule="atLeast"/>
              <w:cnfStyle w:val="000000100000" w:firstRow="0" w:lastRow="0" w:firstColumn="0" w:lastColumn="0" w:oddVBand="0" w:evenVBand="0" w:oddHBand="1" w:evenHBand="0" w:firstRowFirstColumn="0" w:firstRowLastColumn="0" w:lastRowFirstColumn="0" w:lastRowLastColumn="0"/>
            </w:pPr>
            <w:r w:rsidRPr="005A0F02">
              <w:t xml:space="preserve">The level of support </w:t>
            </w:r>
            <w:r>
              <w:t xml:space="preserve">offered </w:t>
            </w:r>
            <w:r w:rsidRPr="005A0F02">
              <w:t xml:space="preserve">depends on patient-factors including complexity, severity, level of </w:t>
            </w:r>
            <w:r w:rsidRPr="00247060">
              <w:t xml:space="preserve">caregiver support, and other factors. </w:t>
            </w:r>
          </w:p>
          <w:p w:rsidR="00853399" w:rsidP="00BD190E" w:rsidRDefault="00853399" w14:paraId="72F8004F" w14:textId="77777777">
            <w:pPr>
              <w:pStyle w:val="ListParagraph"/>
              <w:numPr>
                <w:ilvl w:val="0"/>
                <w:numId w:val="2"/>
              </w:numPr>
              <w:spacing w:after="120" w:line="24" w:lineRule="atLeast"/>
              <w:cnfStyle w:val="000000100000" w:firstRow="0" w:lastRow="0" w:firstColumn="0" w:lastColumn="0" w:oddVBand="0" w:evenVBand="0" w:oddHBand="1" w:evenHBand="0" w:firstRowFirstColumn="0" w:firstRowLastColumn="0" w:lastRowFirstColumn="0" w:lastRowLastColumn="0"/>
            </w:pPr>
            <w:r w:rsidRPr="00247060">
              <w:t>Neuropsych</w:t>
            </w:r>
            <w:r>
              <w:t>iatric</w:t>
            </w:r>
            <w:r w:rsidRPr="00247060">
              <w:t xml:space="preserve"> symptoms (e.g., agitation, psychosis) may be due to social, psychological, or environmental factors and management should be discussed using a shared-decision making approach. </w:t>
            </w:r>
            <w:r w:rsidRPr="00D70693">
              <w:t>Non-pharmacologic approaches are best attempted first</w:t>
            </w:r>
            <w:r>
              <w:t>; p</w:t>
            </w:r>
            <w:r w:rsidRPr="00247060">
              <w:t>harmacological therapies are not a first line therapy.</w:t>
            </w:r>
          </w:p>
          <w:p w:rsidR="00853399" w:rsidP="00BD190E" w:rsidRDefault="00853399" w14:paraId="2F30BF27" w14:textId="77777777">
            <w:pPr>
              <w:pStyle w:val="ListParagraph"/>
              <w:numPr>
                <w:ilvl w:val="0"/>
                <w:numId w:val="2"/>
              </w:numPr>
              <w:spacing w:after="120" w:line="24" w:lineRule="atLeast"/>
              <w:cnfStyle w:val="000000100000" w:firstRow="0" w:lastRow="0" w:firstColumn="0" w:lastColumn="0" w:oddVBand="0" w:evenVBand="0" w:oddHBand="1" w:evenHBand="0" w:firstRowFirstColumn="0" w:firstRowLastColumn="0" w:lastRowFirstColumn="0" w:lastRowLastColumn="0"/>
            </w:pPr>
            <w:r w:rsidRPr="00247060">
              <w:t xml:space="preserve">Patients </w:t>
            </w:r>
            <w:r w:rsidRPr="00F14F73">
              <w:t xml:space="preserve">and families are offered information about available community supports such as through the Alzheimer’s Association and local </w:t>
            </w:r>
            <w:r>
              <w:t>Area Agency on Aging programs.</w:t>
            </w:r>
          </w:p>
          <w:p w:rsidR="00853399" w:rsidP="00BD190E" w:rsidRDefault="00853399" w14:paraId="7C21F6BC" w14:textId="77777777">
            <w:pPr>
              <w:pStyle w:val="ListParagraph"/>
              <w:numPr>
                <w:ilvl w:val="0"/>
                <w:numId w:val="2"/>
              </w:numPr>
              <w:spacing w:after="120" w:line="24" w:lineRule="atLeast"/>
              <w:cnfStyle w:val="000000100000" w:firstRow="0" w:lastRow="0" w:firstColumn="0" w:lastColumn="0" w:oddVBand="0" w:evenVBand="0" w:oddHBand="1" w:evenHBand="0" w:firstRowFirstColumn="0" w:firstRowLastColumn="0" w:lastRowFirstColumn="0" w:lastRowLastColumn="0"/>
            </w:pPr>
            <w:r w:rsidRPr="00F14F73">
              <w:t>Patient quality of life is maximized through a focus on individuals’ preserved capabilities and identities, access to services that prolong functioning (e.g., speech, occupational, physical therapies</w:t>
            </w:r>
            <w:r>
              <w:t xml:space="preserve"> </w:t>
            </w:r>
            <w:r w:rsidRPr="00521A0B">
              <w:t xml:space="preserve">hearing aids </w:t>
            </w:r>
            <w:r>
              <w:t>or</w:t>
            </w:r>
            <w:r w:rsidRPr="00521A0B">
              <w:t xml:space="preserve"> personal amplifiers</w:t>
            </w:r>
            <w:r w:rsidRPr="00F14F73">
              <w:t>), and continued engagement with social networks</w:t>
            </w:r>
            <w:r>
              <w:t xml:space="preserve"> and enriching activities, </w:t>
            </w:r>
            <w:r w:rsidRPr="00F14F73">
              <w:t xml:space="preserve">through use of a strengths-based approach. </w:t>
            </w:r>
          </w:p>
          <w:p w:rsidRPr="00ED1959" w:rsidR="00853399" w:rsidP="00BD190E" w:rsidRDefault="00853399" w14:paraId="3E0373A6" w14:textId="77777777">
            <w:pPr>
              <w:pStyle w:val="ListParagraph"/>
              <w:numPr>
                <w:ilvl w:val="0"/>
                <w:numId w:val="2"/>
              </w:numPr>
              <w:spacing w:after="120" w:line="24" w:lineRule="atLeast"/>
              <w:cnfStyle w:val="000000100000" w:firstRow="0" w:lastRow="0" w:firstColumn="0" w:lastColumn="0" w:oddVBand="0" w:evenVBand="0" w:oddHBand="1" w:evenHBand="0" w:firstRowFirstColumn="0" w:firstRowLastColumn="0" w:lastRowFirstColumn="0" w:lastRowLastColumn="0"/>
            </w:pPr>
            <w:r w:rsidRPr="00F14F73">
              <w:t xml:space="preserve">Caregivers are supported and providers assess and note caregiver knowledge, skills, capacity and possible distress at each visit. Caregivers are also </w:t>
            </w:r>
            <w:r w:rsidRPr="00ED1959">
              <w:rPr>
                <w:rFonts w:cstheme="minorHAnsi"/>
              </w:rPr>
              <w:t xml:space="preserve">connected with resources such as county Family Caregiver Support Programs, which facilitate access to respite care, and support groups, if available. </w:t>
            </w:r>
          </w:p>
        </w:tc>
      </w:tr>
      <w:tr w:rsidR="00853399" w:rsidTr="00853399" w14:paraId="35BAA915" w14:textId="77777777">
        <w:trPr>
          <w:trHeight w:val="710"/>
        </w:trPr>
        <w:tc>
          <w:tcPr>
            <w:cnfStyle w:val="001000000000" w:firstRow="0" w:lastRow="0" w:firstColumn="1" w:lastColumn="0" w:oddVBand="0" w:evenVBand="0" w:oddHBand="0" w:evenHBand="0" w:firstRowFirstColumn="0" w:firstRowLastColumn="0" w:lastRowFirstColumn="0" w:lastRowLastColumn="0"/>
            <w:tcW w:w="98" w:type="pct"/>
          </w:tcPr>
          <w:p w:rsidR="00853399" w:rsidP="00BD190E" w:rsidRDefault="00853399" w14:paraId="177E6277" w14:textId="77777777">
            <w:pPr>
              <w:spacing w:after="120" w:line="24" w:lineRule="atLeast"/>
            </w:pPr>
          </w:p>
        </w:tc>
        <w:tc>
          <w:tcPr>
            <w:tcW w:w="535" w:type="pct"/>
          </w:tcPr>
          <w:p w:rsidRPr="002133F0" w:rsidR="00853399" w:rsidP="00BD190E" w:rsidRDefault="00853399" w14:paraId="66943609" w14:textId="77777777">
            <w:pPr>
              <w:keepNext/>
              <w:keepLines/>
              <w:spacing w:after="120" w:line="24" w:lineRule="atLeast"/>
              <w:outlineLvl w:val="1"/>
              <w:cnfStyle w:val="000000000000" w:firstRow="0" w:lastRow="0" w:firstColumn="0" w:lastColumn="0" w:oddVBand="0" w:evenVBand="0" w:oddHBand="0" w:evenHBand="0" w:firstRowFirstColumn="0" w:firstRowLastColumn="0" w:lastRowFirstColumn="0" w:lastRowLastColumn="0"/>
              <w:rPr>
                <w:rFonts w:eastAsiaTheme="majorEastAsia" w:cstheme="majorBidi"/>
                <w:b/>
              </w:rPr>
            </w:pPr>
            <w:bookmarkStart w:name="_Toc493574742" w:id="5"/>
            <w:r w:rsidRPr="002133F0">
              <w:rPr>
                <w:rFonts w:eastAsiaTheme="majorEastAsia" w:cstheme="majorBidi"/>
                <w:b/>
              </w:rPr>
              <w:t>Advance Care Planning and Palliative Care</w:t>
            </w:r>
            <w:bookmarkEnd w:id="5"/>
          </w:p>
        </w:tc>
        <w:tc>
          <w:tcPr>
            <w:tcW w:w="867" w:type="pct"/>
          </w:tcPr>
          <w:p w:rsidRPr="002133F0" w:rsidR="00853399" w:rsidP="00BD190E" w:rsidRDefault="00853399" w14:paraId="5EE9EA0F" w14:textId="77777777">
            <w:pPr>
              <w:spacing w:after="120" w:line="24" w:lineRule="atLeast"/>
              <w:cnfStyle w:val="000000000000" w:firstRow="0" w:lastRow="0" w:firstColumn="0" w:lastColumn="0" w:oddVBand="0" w:evenVBand="0" w:oddHBand="0" w:evenHBand="0" w:firstRowFirstColumn="0" w:firstRowLastColumn="0" w:lastRowFirstColumn="0" w:lastRowLastColumn="0"/>
              <w:rPr>
                <w:i/>
              </w:rPr>
            </w:pPr>
            <w:r w:rsidRPr="002133F0">
              <w:rPr>
                <w:i/>
              </w:rPr>
              <w:t xml:space="preserve">I have had a meaningful conversation with my doctor, including my family member(s), about what I want for end-of-life care. We have written this down into an advance directive that is accessible by my care team and family. I feel confident that my goals of care will be followed. If I need it, I have access to and understand the need for palliative care. </w:t>
            </w:r>
          </w:p>
        </w:tc>
        <w:tc>
          <w:tcPr>
            <w:tcW w:w="3500" w:type="pct"/>
          </w:tcPr>
          <w:p w:rsidRPr="002133F0" w:rsidR="00853399" w:rsidP="00BD190E" w:rsidRDefault="00853399" w14:paraId="4EC525C7" w14:textId="77777777">
            <w:pPr>
              <w:spacing w:after="120" w:line="24" w:lineRule="atLeast"/>
              <w:cnfStyle w:val="000000000000" w:firstRow="0" w:lastRow="0" w:firstColumn="0" w:lastColumn="0" w:oddVBand="0" w:evenVBand="0" w:oddHBand="0" w:evenHBand="0" w:firstRowFirstColumn="0" w:firstRowLastColumn="0" w:lastRowFirstColumn="0" w:lastRowLastColumn="0"/>
              <w:rPr>
                <w:b/>
                <w:color w:val="ED7D31" w:themeColor="accent2"/>
              </w:rPr>
            </w:pPr>
            <w:r w:rsidRPr="002133F0">
              <w:rPr>
                <w:b/>
                <w:color w:val="ED7D31" w:themeColor="accent2"/>
              </w:rPr>
              <w:t>Current State:</w:t>
            </w:r>
            <w:r w:rsidRPr="002133F0">
              <w:rPr>
                <w:color w:val="ED7D31" w:themeColor="accent2"/>
              </w:rPr>
              <w:t xml:space="preserve"> </w:t>
            </w:r>
            <w:r w:rsidRPr="002133F0">
              <w:t>Care given to patients at the end of life varies based on institutional protocol and is not necessarily aligned with patient goals of care. Family and other caregivers may feel burdened in making clinical decisions without having had previous conversations with the patient and feel overwhelmed and unsupported. Patient symptoms (e.g., pain) may not be well-managed or addressed. Non-value added care may be provided, such as mammograms or feeding tube placement in patients with advanced dementia.</w:t>
            </w:r>
          </w:p>
          <w:p w:rsidRPr="002133F0" w:rsidR="00853399" w:rsidP="00BD190E" w:rsidRDefault="00853399" w14:paraId="7C472572" w14:textId="77777777">
            <w:pPr>
              <w:spacing w:after="120" w:line="24" w:lineRule="atLeast"/>
              <w:cnfStyle w:val="000000000000" w:firstRow="0" w:lastRow="0" w:firstColumn="0" w:lastColumn="0" w:oddVBand="0" w:evenVBand="0" w:oddHBand="0" w:evenHBand="0" w:firstRowFirstColumn="0" w:firstRowLastColumn="0" w:lastRowFirstColumn="0" w:lastRowLastColumn="0"/>
            </w:pPr>
            <w:r w:rsidRPr="002133F0">
              <w:rPr>
                <w:b/>
                <w:color w:val="ED7D31" w:themeColor="accent2"/>
              </w:rPr>
              <w:t>Intermediate Steps</w:t>
            </w:r>
            <w:r w:rsidRPr="002133F0">
              <w:rPr>
                <w:color w:val="FFC000"/>
              </w:rPr>
              <w:t xml:space="preserve">: </w:t>
            </w:r>
            <w:r w:rsidRPr="002133F0">
              <w:t xml:space="preserve">Patient and family members have begun to have conversations about goals for care but may not have had these in a clinical </w:t>
            </w:r>
            <w:r w:rsidRPr="002133F0">
              <w:rPr>
                <w:color w:val="000000" w:themeColor="text1"/>
              </w:rPr>
              <w:t xml:space="preserve">setting and have not documented their goals in an advance directive or the advance directive is not accessible to </w:t>
            </w:r>
            <w:r w:rsidRPr="002133F0">
              <w:t xml:space="preserve">the care team. </w:t>
            </w:r>
          </w:p>
          <w:p w:rsidRPr="002133F0" w:rsidR="00853399" w:rsidP="00BD190E" w:rsidRDefault="00853399" w14:paraId="507484AB" w14:textId="77777777">
            <w:pPr>
              <w:spacing w:after="120" w:line="24" w:lineRule="atLeast"/>
              <w:cnfStyle w:val="000000000000" w:firstRow="0" w:lastRow="0" w:firstColumn="0" w:lastColumn="0" w:oddVBand="0" w:evenVBand="0" w:oddHBand="0" w:evenHBand="0" w:firstRowFirstColumn="0" w:firstRowLastColumn="0" w:lastRowFirstColumn="0" w:lastRowLastColumn="0"/>
              <w:rPr>
                <w:b/>
                <w:color w:val="ED7D31" w:themeColor="accent2"/>
              </w:rPr>
            </w:pPr>
            <w:r w:rsidRPr="002133F0">
              <w:rPr>
                <w:b/>
                <w:color w:val="ED7D31" w:themeColor="accent2"/>
              </w:rPr>
              <w:t xml:space="preserve">Optimal Care: </w:t>
            </w:r>
          </w:p>
          <w:p w:rsidRPr="002133F0" w:rsidR="00853399" w:rsidP="00BD190E" w:rsidRDefault="00853399" w14:paraId="21127083" w14:textId="77777777">
            <w:pPr>
              <w:pStyle w:val="ListParagraph"/>
              <w:numPr>
                <w:ilvl w:val="0"/>
                <w:numId w:val="3"/>
              </w:numPr>
              <w:spacing w:after="120" w:line="24" w:lineRule="atLeast"/>
              <w:cnfStyle w:val="000000000000" w:firstRow="0" w:lastRow="0" w:firstColumn="0" w:lastColumn="0" w:oddVBand="0" w:evenVBand="0" w:oddHBand="0" w:evenHBand="0" w:firstRowFirstColumn="0" w:firstRowLastColumn="0" w:lastRowFirstColumn="0" w:lastRowLastColumn="0"/>
            </w:pPr>
            <w:r w:rsidRPr="002133F0">
              <w:t xml:space="preserve">Patients, providers, family, and other caregivers have had a comprehensive advance care planning conversation in a clinical setting that has been documented in an advance directive as early as possible to maximize the patient’s voice and input. This stipulates specific treatment preferences (if known and applicable to the situation), a durable power of attorney for health care that names a surrogate and indicates the amount of leeway the surrogate should have in decision-making; a written personal statement that articulates the patient’s values and goals regarding end-of-life care; discussion of risks, benefits, and goals for a potential hospitalization; and Physician Orders for Life Sustaining Treatment (POLST). </w:t>
            </w:r>
          </w:p>
          <w:p w:rsidRPr="002133F0" w:rsidR="00853399" w:rsidP="00BD190E" w:rsidRDefault="00853399" w14:paraId="5B7303A4" w14:textId="77777777">
            <w:pPr>
              <w:pStyle w:val="ListParagraph"/>
              <w:numPr>
                <w:ilvl w:val="0"/>
                <w:numId w:val="3"/>
              </w:numPr>
              <w:spacing w:after="120" w:line="24" w:lineRule="atLeast"/>
              <w:cnfStyle w:val="000000000000" w:firstRow="0" w:lastRow="0" w:firstColumn="0" w:lastColumn="0" w:oddVBand="0" w:evenVBand="0" w:oddHBand="0" w:evenHBand="0" w:firstRowFirstColumn="0" w:firstRowLastColumn="0" w:lastRowFirstColumn="0" w:lastRowLastColumn="0"/>
            </w:pPr>
            <w:r w:rsidRPr="002133F0">
              <w:t xml:space="preserve">Providers routinely consider patient’s dementia diagnosis and issues of decision-making capacity when making decisions to minimize unnecessary or harmful care and discuss this with the patient and family. </w:t>
            </w:r>
          </w:p>
          <w:p w:rsidRPr="002133F0" w:rsidR="00853399" w:rsidP="00BD190E" w:rsidRDefault="00853399" w14:paraId="665F914E" w14:textId="77777777">
            <w:pPr>
              <w:pStyle w:val="ListParagraph"/>
              <w:numPr>
                <w:ilvl w:val="0"/>
                <w:numId w:val="3"/>
              </w:numPr>
              <w:spacing w:after="120" w:line="24" w:lineRule="atLeast"/>
              <w:cnfStyle w:val="000000000000" w:firstRow="0" w:lastRow="0" w:firstColumn="0" w:lastColumn="0" w:oddVBand="0" w:evenVBand="0" w:oddHBand="0" w:evenHBand="0" w:firstRowFirstColumn="0" w:firstRowLastColumn="0" w:lastRowFirstColumn="0" w:lastRowLastColumn="0"/>
            </w:pPr>
            <w:r w:rsidRPr="002133F0">
              <w:t xml:space="preserve">The care team has discussed when palliative care and/or hospice might be appropriate. </w:t>
            </w:r>
          </w:p>
          <w:p w:rsidRPr="002133F0" w:rsidR="00853399" w:rsidP="00BD190E" w:rsidRDefault="00853399" w14:paraId="7B56384C" w14:textId="77777777">
            <w:pPr>
              <w:pStyle w:val="ListParagraph"/>
              <w:numPr>
                <w:ilvl w:val="0"/>
                <w:numId w:val="3"/>
              </w:numPr>
              <w:spacing w:after="120" w:line="24" w:lineRule="atLeast"/>
              <w:cnfStyle w:val="000000000000" w:firstRow="0" w:lastRow="0" w:firstColumn="0" w:lastColumn="0" w:oddVBand="0" w:evenVBand="0" w:oddHBand="0" w:evenHBand="0" w:firstRowFirstColumn="0" w:firstRowLastColumn="0" w:lastRowFirstColumn="0" w:lastRowLastColumn="0"/>
            </w:pPr>
            <w:r w:rsidRPr="002133F0">
              <w:t xml:space="preserve">The patient and family know who to contact if symptoms (e.g., pain) develop or worsen and feel confident in their care plan. </w:t>
            </w:r>
          </w:p>
        </w:tc>
      </w:tr>
      <w:tr w:rsidR="00853399" w:rsidTr="00853399" w14:paraId="6AB46B49" w14:textId="7777777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98" w:type="pct"/>
          </w:tcPr>
          <w:p w:rsidRPr="003F6E63" w:rsidR="00853399" w:rsidP="00BD190E" w:rsidRDefault="00853399" w14:paraId="54F54CA4" w14:textId="77777777">
            <w:pPr>
              <w:spacing w:after="120" w:line="24" w:lineRule="atLeast"/>
            </w:pPr>
          </w:p>
        </w:tc>
        <w:tc>
          <w:tcPr>
            <w:tcW w:w="535" w:type="pct"/>
          </w:tcPr>
          <w:p w:rsidRPr="003F6E63" w:rsidR="00853399" w:rsidP="00BD190E" w:rsidRDefault="00853399" w14:paraId="618A0A64" w14:textId="77777777">
            <w:pPr>
              <w:keepNext/>
              <w:keepLines/>
              <w:spacing w:after="120" w:line="24" w:lineRule="atLeast"/>
              <w:outlineLvl w:val="1"/>
              <w:cnfStyle w:val="000000100000" w:firstRow="0" w:lastRow="0" w:firstColumn="0" w:lastColumn="0" w:oddVBand="0" w:evenVBand="0" w:oddHBand="1" w:evenHBand="0" w:firstRowFirstColumn="0" w:firstRowLastColumn="0" w:lastRowFirstColumn="0" w:lastRowLastColumn="0"/>
              <w:rPr>
                <w:rFonts w:eastAsiaTheme="majorEastAsia" w:cstheme="majorBidi"/>
                <w:b/>
              </w:rPr>
            </w:pPr>
            <w:bookmarkStart w:name="_Toc493574743" w:id="6"/>
            <w:r w:rsidRPr="003C26D2">
              <w:rPr>
                <w:rFonts w:eastAsiaTheme="majorEastAsia" w:cstheme="majorBidi"/>
                <w:b/>
              </w:rPr>
              <w:t>Need for Increased Support and/or Higher Levels of Care</w:t>
            </w:r>
            <w:bookmarkEnd w:id="6"/>
          </w:p>
        </w:tc>
        <w:tc>
          <w:tcPr>
            <w:tcW w:w="867" w:type="pct"/>
          </w:tcPr>
          <w:p w:rsidRPr="003F6E63" w:rsidR="00853399" w:rsidP="00BD190E" w:rsidRDefault="00853399" w14:paraId="07BD7DDE" w14:textId="77777777">
            <w:pPr>
              <w:spacing w:after="120" w:line="24" w:lineRule="atLeast"/>
              <w:cnfStyle w:val="000000100000" w:firstRow="0" w:lastRow="0" w:firstColumn="0" w:lastColumn="0" w:oddVBand="0" w:evenVBand="0" w:oddHBand="1" w:evenHBand="0" w:firstRowFirstColumn="0" w:firstRowLastColumn="0" w:lastRowFirstColumn="0" w:lastRowLastColumn="0"/>
              <w:rPr>
                <w:i/>
              </w:rPr>
            </w:pPr>
            <w:r w:rsidRPr="003F6E63">
              <w:rPr>
                <w:i/>
              </w:rPr>
              <w:t xml:space="preserve">I and my family members have a plan if my cognitive decline </w:t>
            </w:r>
            <w:r>
              <w:rPr>
                <w:i/>
              </w:rPr>
              <w:t xml:space="preserve">and care </w:t>
            </w:r>
            <w:r w:rsidRPr="003F6E63">
              <w:rPr>
                <w:i/>
              </w:rPr>
              <w:t>is more tha</w:t>
            </w:r>
            <w:r>
              <w:rPr>
                <w:i/>
              </w:rPr>
              <w:t xml:space="preserve">n can be managed safely at home </w:t>
            </w:r>
            <w:r w:rsidRPr="008865B4">
              <w:rPr>
                <w:i/>
              </w:rPr>
              <w:t>with my current supports.</w:t>
            </w:r>
          </w:p>
          <w:p w:rsidRPr="003F6E63" w:rsidR="00853399" w:rsidP="00BD190E" w:rsidRDefault="00853399" w14:paraId="0B925178" w14:textId="77777777">
            <w:pPr>
              <w:spacing w:after="120" w:line="24" w:lineRule="atLeast"/>
              <w:cnfStyle w:val="000000100000" w:firstRow="0" w:lastRow="0" w:firstColumn="0" w:lastColumn="0" w:oddVBand="0" w:evenVBand="0" w:oddHBand="1" w:evenHBand="0" w:firstRowFirstColumn="0" w:firstRowLastColumn="0" w:lastRowFirstColumn="0" w:lastRowLastColumn="0"/>
              <w:rPr>
                <w:i/>
              </w:rPr>
            </w:pPr>
            <w:r w:rsidRPr="003F6E63">
              <w:rPr>
                <w:i/>
              </w:rPr>
              <w:lastRenderedPageBreak/>
              <w:t xml:space="preserve"> </w:t>
            </w:r>
          </w:p>
          <w:p w:rsidRPr="003F6E63" w:rsidR="00853399" w:rsidP="00BD190E" w:rsidRDefault="00853399" w14:paraId="074C1554" w14:textId="77777777">
            <w:pPr>
              <w:spacing w:after="120" w:line="24" w:lineRule="atLeast"/>
              <w:cnfStyle w:val="000000100000" w:firstRow="0" w:lastRow="0" w:firstColumn="0" w:lastColumn="0" w:oddVBand="0" w:evenVBand="0" w:oddHBand="1" w:evenHBand="0" w:firstRowFirstColumn="0" w:firstRowLastColumn="0" w:lastRowFirstColumn="0" w:lastRowLastColumn="0"/>
              <w:rPr>
                <w:i/>
              </w:rPr>
            </w:pPr>
          </w:p>
          <w:p w:rsidRPr="003F6E63" w:rsidR="00853399" w:rsidP="00BD190E" w:rsidRDefault="00853399" w14:paraId="0CDAFBDB" w14:textId="77777777">
            <w:pPr>
              <w:spacing w:after="120" w:line="24" w:lineRule="atLeast"/>
              <w:cnfStyle w:val="000000100000" w:firstRow="0" w:lastRow="0" w:firstColumn="0" w:lastColumn="0" w:oddVBand="0" w:evenVBand="0" w:oddHBand="1" w:evenHBand="0" w:firstRowFirstColumn="0" w:firstRowLastColumn="0" w:lastRowFirstColumn="0" w:lastRowLastColumn="0"/>
              <w:rPr>
                <w:i/>
              </w:rPr>
            </w:pPr>
          </w:p>
          <w:p w:rsidRPr="003F6E63" w:rsidR="00853399" w:rsidP="00BD190E" w:rsidRDefault="00853399" w14:paraId="47FCA6D9" w14:textId="77777777">
            <w:pPr>
              <w:spacing w:after="120" w:line="24" w:lineRule="atLeast"/>
              <w:cnfStyle w:val="000000100000" w:firstRow="0" w:lastRow="0" w:firstColumn="0" w:lastColumn="0" w:oddVBand="0" w:evenVBand="0" w:oddHBand="1" w:evenHBand="0" w:firstRowFirstColumn="0" w:firstRowLastColumn="0" w:lastRowFirstColumn="0" w:lastRowLastColumn="0"/>
              <w:rPr>
                <w:i/>
              </w:rPr>
            </w:pPr>
          </w:p>
          <w:p w:rsidRPr="003F6E63" w:rsidR="00853399" w:rsidP="00BD190E" w:rsidRDefault="00853399" w14:paraId="4299A5B4" w14:textId="77777777">
            <w:pPr>
              <w:spacing w:after="120" w:line="24" w:lineRule="atLeast"/>
              <w:cnfStyle w:val="000000100000" w:firstRow="0" w:lastRow="0" w:firstColumn="0" w:lastColumn="0" w:oddVBand="0" w:evenVBand="0" w:oddHBand="1" w:evenHBand="0" w:firstRowFirstColumn="0" w:firstRowLastColumn="0" w:lastRowFirstColumn="0" w:lastRowLastColumn="0"/>
              <w:rPr>
                <w:i/>
              </w:rPr>
            </w:pPr>
          </w:p>
        </w:tc>
        <w:tc>
          <w:tcPr>
            <w:tcW w:w="3500" w:type="pct"/>
          </w:tcPr>
          <w:p w:rsidR="00853399" w:rsidP="00BD190E" w:rsidRDefault="00853399" w14:paraId="1B76C030" w14:textId="77777777">
            <w:pPr>
              <w:spacing w:after="120" w:line="24" w:lineRule="atLeast"/>
              <w:cnfStyle w:val="000000100000" w:firstRow="0" w:lastRow="0" w:firstColumn="0" w:lastColumn="0" w:oddVBand="0" w:evenVBand="0" w:oddHBand="1" w:evenHBand="0" w:firstRowFirstColumn="0" w:firstRowLastColumn="0" w:lastRowFirstColumn="0" w:lastRowLastColumn="0"/>
              <w:rPr>
                <w:b/>
                <w:color w:val="ED7D31" w:themeColor="accent2"/>
              </w:rPr>
            </w:pPr>
            <w:r>
              <w:rPr>
                <w:b/>
                <w:color w:val="ED7D31" w:themeColor="accent2"/>
              </w:rPr>
              <w:lastRenderedPageBreak/>
              <w:t>Current State</w:t>
            </w:r>
            <w:r w:rsidRPr="008D0D3F">
              <w:rPr>
                <w:b/>
                <w:color w:val="ED7D31" w:themeColor="accent2"/>
              </w:rPr>
              <w:t>:</w:t>
            </w:r>
            <w:r w:rsidRPr="00957E96">
              <w:rPr>
                <w:color w:val="ED7D31" w:themeColor="accent2"/>
              </w:rPr>
              <w:t xml:space="preserve"> </w:t>
            </w:r>
            <w:r w:rsidRPr="00DB72D6">
              <w:rPr>
                <w:color w:val="000000" w:themeColor="text1"/>
              </w:rPr>
              <w:t xml:space="preserve">For most patients and families there is little information about planning for possible transitions to higher levels of care. </w:t>
            </w:r>
            <w:r w:rsidRPr="008865B4">
              <w:t xml:space="preserve">Providers and care teams may be unsure as to community supports available to patients and families and not know how to identify proactive steps to take (e.g., additional home support, residential </w:t>
            </w:r>
            <w:r>
              <w:t>care</w:t>
            </w:r>
            <w:r w:rsidRPr="008865B4">
              <w:t>).</w:t>
            </w:r>
          </w:p>
          <w:p w:rsidRPr="00694038" w:rsidR="00853399" w:rsidP="00BD190E" w:rsidRDefault="00853399" w14:paraId="35B7A417" w14:textId="77777777">
            <w:pPr>
              <w:spacing w:after="120" w:line="24" w:lineRule="atLeast"/>
              <w:cnfStyle w:val="000000100000" w:firstRow="0" w:lastRow="0" w:firstColumn="0" w:lastColumn="0" w:oddVBand="0" w:evenVBand="0" w:oddHBand="1" w:evenHBand="0" w:firstRowFirstColumn="0" w:firstRowLastColumn="0" w:lastRowFirstColumn="0" w:lastRowLastColumn="0"/>
            </w:pPr>
            <w:r>
              <w:rPr>
                <w:b/>
                <w:color w:val="ED7D31" w:themeColor="accent2"/>
              </w:rPr>
              <w:t xml:space="preserve">Intermediate </w:t>
            </w:r>
            <w:r w:rsidRPr="000F7EBB">
              <w:rPr>
                <w:b/>
                <w:color w:val="ED7D31" w:themeColor="accent2"/>
              </w:rPr>
              <w:t>Steps</w:t>
            </w:r>
            <w:r w:rsidRPr="00C87430">
              <w:rPr>
                <w:color w:val="FFC000"/>
              </w:rPr>
              <w:t xml:space="preserve">: </w:t>
            </w:r>
            <w:r w:rsidRPr="00DB72D6">
              <w:rPr>
                <w:color w:val="000000" w:themeColor="text1"/>
              </w:rPr>
              <w:t xml:space="preserve">Initial </w:t>
            </w:r>
            <w:r w:rsidRPr="008865B4">
              <w:t xml:space="preserve">conversations about the diagnosis include information about progression of cognitive decline and changes in functional abilities. Patients and family members are encouraged to start thinking about potential need for higher levels of care at home or in an alternative living </w:t>
            </w:r>
            <w:r w:rsidRPr="008865B4">
              <w:lastRenderedPageBreak/>
              <w:t xml:space="preserve">situation. Patients and families are connected to community resources that provide education about these care options and understand how to manage behavioral symptoms as much as possible. </w:t>
            </w:r>
          </w:p>
          <w:p w:rsidR="00853399" w:rsidP="00BD190E" w:rsidRDefault="00853399" w14:paraId="611ED81A" w14:textId="77777777">
            <w:pPr>
              <w:spacing w:after="120" w:line="24" w:lineRule="atLeast"/>
              <w:cnfStyle w:val="000000100000" w:firstRow="0" w:lastRow="0" w:firstColumn="0" w:lastColumn="0" w:oddVBand="0" w:evenVBand="0" w:oddHBand="1" w:evenHBand="0" w:firstRowFirstColumn="0" w:firstRowLastColumn="0" w:lastRowFirstColumn="0" w:lastRowLastColumn="0"/>
              <w:rPr>
                <w:b/>
                <w:color w:val="ED7D31" w:themeColor="accent2"/>
              </w:rPr>
            </w:pPr>
            <w:r w:rsidRPr="003C26D2">
              <w:rPr>
                <w:b/>
                <w:color w:val="ED7D31" w:themeColor="accent2"/>
              </w:rPr>
              <w:t xml:space="preserve">Optimal Care: </w:t>
            </w:r>
          </w:p>
          <w:p w:rsidR="00853399" w:rsidP="00BD190E" w:rsidRDefault="00853399" w14:paraId="77553DCD" w14:textId="77777777">
            <w:pPr>
              <w:pStyle w:val="ListParagraph"/>
              <w:numPr>
                <w:ilvl w:val="0"/>
                <w:numId w:val="4"/>
              </w:numPr>
              <w:spacing w:after="120" w:line="24" w:lineRule="atLeast"/>
              <w:cnfStyle w:val="000000100000" w:firstRow="0" w:lastRow="0" w:firstColumn="0" w:lastColumn="0" w:oddVBand="0" w:evenVBand="0" w:oddHBand="1" w:evenHBand="0" w:firstRowFirstColumn="0" w:firstRowLastColumn="0" w:lastRowFirstColumn="0" w:lastRowLastColumn="0"/>
            </w:pPr>
            <w:r w:rsidRPr="00F543E5">
              <w:rPr>
                <w:color w:val="000000" w:themeColor="text1"/>
              </w:rPr>
              <w:t xml:space="preserve">Patients and family members understand that they may face decisions about the need for increased care, care transitions and/or increased stress and caregiver burden. Patients and families have these conversations early on in the disease, </w:t>
            </w:r>
            <w:r w:rsidRPr="008865B4">
              <w:t xml:space="preserve">anticipating progression and have a plan if care needs are greater than </w:t>
            </w:r>
            <w:r w:rsidRPr="003C26D2">
              <w:t xml:space="preserve">can be safely managed at home with current supports, such as additional in-home care or services, respite care, or move to a residential facility. </w:t>
            </w:r>
          </w:p>
          <w:p w:rsidR="00853399" w:rsidP="00BD190E" w:rsidRDefault="00853399" w14:paraId="1C30D1F1" w14:textId="77777777">
            <w:pPr>
              <w:pStyle w:val="ListParagraph"/>
              <w:numPr>
                <w:ilvl w:val="0"/>
                <w:numId w:val="4"/>
              </w:numPr>
              <w:spacing w:after="120" w:line="24" w:lineRule="atLeast"/>
              <w:cnfStyle w:val="000000100000" w:firstRow="0" w:lastRow="0" w:firstColumn="0" w:lastColumn="0" w:oddVBand="0" w:evenVBand="0" w:oddHBand="1" w:evenHBand="0" w:firstRowFirstColumn="0" w:firstRowLastColumn="0" w:lastRowFirstColumn="0" w:lastRowLastColumn="0"/>
            </w:pPr>
            <w:r w:rsidRPr="003C26D2">
              <w:t xml:space="preserve">From the time of initial diagnosis, patients and family members are connected to community resources that can help plan for future and increasing care needs. </w:t>
            </w:r>
          </w:p>
          <w:p w:rsidR="00853399" w:rsidP="00BD190E" w:rsidRDefault="00853399" w14:paraId="17F2D6C1" w14:textId="77777777">
            <w:pPr>
              <w:pStyle w:val="ListParagraph"/>
              <w:numPr>
                <w:ilvl w:val="0"/>
                <w:numId w:val="4"/>
              </w:numPr>
              <w:spacing w:after="120" w:line="24" w:lineRule="atLeast"/>
              <w:cnfStyle w:val="000000100000" w:firstRow="0" w:lastRow="0" w:firstColumn="0" w:lastColumn="0" w:oddVBand="0" w:evenVBand="0" w:oddHBand="1" w:evenHBand="0" w:firstRowFirstColumn="0" w:firstRowLastColumn="0" w:lastRowFirstColumn="0" w:lastRowLastColumn="0"/>
            </w:pPr>
            <w:r w:rsidRPr="003C26D2">
              <w:t xml:space="preserve">Monitoring for progression of cognitive decline, emergence of behavioral symptoms, functional impairment (e.g., activities of daily living), and care-partner/family capacity is part of each primary care visit and communicated to the patient and family members. </w:t>
            </w:r>
          </w:p>
          <w:p w:rsidRPr="00694038" w:rsidR="00853399" w:rsidP="00BD190E" w:rsidRDefault="00853399" w14:paraId="5A257989" w14:textId="77777777">
            <w:pPr>
              <w:pStyle w:val="ListParagraph"/>
              <w:numPr>
                <w:ilvl w:val="0"/>
                <w:numId w:val="4"/>
              </w:numPr>
              <w:spacing w:after="120" w:line="24" w:lineRule="atLeast"/>
              <w:cnfStyle w:val="000000100000" w:firstRow="0" w:lastRow="0" w:firstColumn="0" w:lastColumn="0" w:oddVBand="0" w:evenVBand="0" w:oddHBand="1" w:evenHBand="0" w:firstRowFirstColumn="0" w:firstRowLastColumn="0" w:lastRowFirstColumn="0" w:lastRowLastColumn="0"/>
            </w:pPr>
            <w:r w:rsidRPr="003C26D2">
              <w:t xml:space="preserve">Planning </w:t>
            </w:r>
            <w:r w:rsidRPr="008865B4">
              <w:t xml:space="preserve">includes consideration for caregiver </w:t>
            </w:r>
            <w:r>
              <w:t xml:space="preserve">stress and </w:t>
            </w:r>
            <w:r w:rsidRPr="008865B4">
              <w:t>capacity, financial and insurance concerns (e.g., long term care coverage), health care considerations, and availability of local residential facilities, paid caregivers, and community resources (such as Meals on Wheels, volunteer chore services, etc.).</w:t>
            </w:r>
          </w:p>
        </w:tc>
      </w:tr>
      <w:tr w:rsidR="00853399" w:rsidTr="00853399" w14:paraId="55D7580C" w14:textId="77777777">
        <w:trPr>
          <w:trHeight w:val="710"/>
        </w:trPr>
        <w:tc>
          <w:tcPr>
            <w:cnfStyle w:val="001000000000" w:firstRow="0" w:lastRow="0" w:firstColumn="1" w:lastColumn="0" w:oddVBand="0" w:evenVBand="0" w:oddHBand="0" w:evenHBand="0" w:firstRowFirstColumn="0" w:firstRowLastColumn="0" w:lastRowFirstColumn="0" w:lastRowLastColumn="0"/>
            <w:tcW w:w="98" w:type="pct"/>
          </w:tcPr>
          <w:p w:rsidR="00853399" w:rsidP="00BD190E" w:rsidRDefault="00853399" w14:paraId="2684CCA7" w14:textId="77777777">
            <w:pPr>
              <w:spacing w:after="120" w:line="24" w:lineRule="atLeast"/>
            </w:pPr>
          </w:p>
        </w:tc>
        <w:tc>
          <w:tcPr>
            <w:tcW w:w="535" w:type="pct"/>
          </w:tcPr>
          <w:p w:rsidRPr="00E30FAB" w:rsidR="00853399" w:rsidP="00BD190E" w:rsidRDefault="00853399" w14:paraId="4FABE32E" w14:textId="77777777">
            <w:pPr>
              <w:keepNext/>
              <w:keepLines/>
              <w:spacing w:after="120" w:line="24" w:lineRule="atLeast"/>
              <w:outlineLvl w:val="1"/>
              <w:cnfStyle w:val="000000000000" w:firstRow="0" w:lastRow="0" w:firstColumn="0" w:lastColumn="0" w:oddVBand="0" w:evenVBand="0" w:oddHBand="0" w:evenHBand="0" w:firstRowFirstColumn="0" w:firstRowLastColumn="0" w:lastRowFirstColumn="0" w:lastRowLastColumn="0"/>
              <w:rPr>
                <w:rFonts w:eastAsiaTheme="majorEastAsia" w:cstheme="majorBidi"/>
                <w:b/>
                <w:color w:val="000000" w:themeColor="text1"/>
              </w:rPr>
            </w:pPr>
            <w:bookmarkStart w:name="_Toc493574744" w:id="7"/>
            <w:r w:rsidRPr="00546D62">
              <w:rPr>
                <w:rFonts w:eastAsiaTheme="majorEastAsia" w:cstheme="majorBidi"/>
                <w:b/>
              </w:rPr>
              <w:t xml:space="preserve">Preparing for Potential </w:t>
            </w:r>
            <w:r w:rsidRPr="00546D62">
              <w:rPr>
                <w:b/>
              </w:rPr>
              <w:t>Hospitalization</w:t>
            </w:r>
            <w:bookmarkEnd w:id="7"/>
            <w:r w:rsidRPr="00546D62">
              <w:rPr>
                <w:b/>
              </w:rPr>
              <w:t xml:space="preserve"> </w:t>
            </w:r>
          </w:p>
        </w:tc>
        <w:tc>
          <w:tcPr>
            <w:tcW w:w="867" w:type="pct"/>
          </w:tcPr>
          <w:p w:rsidRPr="00DB72D6" w:rsidR="00853399" w:rsidP="00BD190E" w:rsidRDefault="00853399" w14:paraId="1037449D" w14:textId="77777777">
            <w:pPr>
              <w:spacing w:after="120" w:line="24" w:lineRule="atLeast"/>
              <w:cnfStyle w:val="000000000000" w:firstRow="0" w:lastRow="0" w:firstColumn="0" w:lastColumn="0" w:oddVBand="0" w:evenVBand="0" w:oddHBand="0" w:evenHBand="0" w:firstRowFirstColumn="0" w:firstRowLastColumn="0" w:lastRowFirstColumn="0" w:lastRowLastColumn="0"/>
              <w:rPr>
                <w:i/>
                <w:color w:val="000000" w:themeColor="text1"/>
              </w:rPr>
            </w:pPr>
            <w:r w:rsidRPr="00DB72D6">
              <w:rPr>
                <w:i/>
                <w:color w:val="000000" w:themeColor="text1"/>
              </w:rPr>
              <w:t xml:space="preserve">I and my family understand that I may need to receive care from a hospital and have planned ahead for a potential hospital visit. After leaving the hospital, I and my family know our next steps – whether that is continuing to live at home or receiving care at a residential facility – and have enough </w:t>
            </w:r>
            <w:r w:rsidRPr="00DB72D6">
              <w:rPr>
                <w:i/>
                <w:color w:val="000000" w:themeColor="text1"/>
              </w:rPr>
              <w:lastRenderedPageBreak/>
              <w:t xml:space="preserve">information to make a decision comfortably. </w:t>
            </w:r>
          </w:p>
        </w:tc>
        <w:tc>
          <w:tcPr>
            <w:tcW w:w="3500" w:type="pct"/>
          </w:tcPr>
          <w:p w:rsidRPr="008A0A44" w:rsidR="00853399" w:rsidP="00BD190E" w:rsidRDefault="00853399" w14:paraId="334FF9E7" w14:textId="77777777">
            <w:pPr>
              <w:spacing w:after="120" w:line="24" w:lineRule="atLeast"/>
              <w:cnfStyle w:val="000000000000" w:firstRow="0" w:lastRow="0" w:firstColumn="0" w:lastColumn="0" w:oddVBand="0" w:evenVBand="0" w:oddHBand="0" w:evenHBand="0" w:firstRowFirstColumn="0" w:firstRowLastColumn="0" w:lastRowFirstColumn="0" w:lastRowLastColumn="0"/>
              <w:rPr>
                <w:b/>
              </w:rPr>
            </w:pPr>
            <w:r>
              <w:rPr>
                <w:b/>
                <w:color w:val="ED7D31" w:themeColor="accent2"/>
              </w:rPr>
              <w:lastRenderedPageBreak/>
              <w:t>Current Care</w:t>
            </w:r>
            <w:r w:rsidRPr="008D0D3F">
              <w:rPr>
                <w:b/>
                <w:color w:val="ED7D31" w:themeColor="accent2"/>
              </w:rPr>
              <w:t>:</w:t>
            </w:r>
            <w:r w:rsidRPr="00957E96">
              <w:rPr>
                <w:color w:val="ED7D31" w:themeColor="accent2"/>
              </w:rPr>
              <w:t xml:space="preserve"> </w:t>
            </w:r>
            <w:r w:rsidRPr="000731DA">
              <w:rPr>
                <w:color w:val="000000" w:themeColor="text1"/>
              </w:rPr>
              <w:t xml:space="preserve">Hospitalization </w:t>
            </w:r>
            <w:r>
              <w:rPr>
                <w:color w:val="000000" w:themeColor="text1"/>
              </w:rPr>
              <w:t xml:space="preserve">or a visit to an emergency room </w:t>
            </w:r>
            <w:r w:rsidRPr="000731DA">
              <w:rPr>
                <w:color w:val="000000" w:themeColor="text1"/>
              </w:rPr>
              <w:t xml:space="preserve">may feel unexpected to patients and family members. Clinicians and hospital staff may be unaware of the dementia diagnosis or any patient communication issues and may be unprepared for preventing patient safety issues such as agitation, delirium or adverse reactions to medications.  At discharge, patients and families may feel unsupported in managing symptoms at home or unsure about transitions to residential care or a rehabilitation facility. </w:t>
            </w:r>
          </w:p>
          <w:p w:rsidRPr="0008707B" w:rsidR="00853399" w:rsidP="00BD190E" w:rsidRDefault="00853399" w14:paraId="1E32D59B" w14:textId="77777777">
            <w:pPr>
              <w:spacing w:after="120" w:line="24" w:lineRule="atLeast"/>
              <w:cnfStyle w:val="000000000000" w:firstRow="0" w:lastRow="0" w:firstColumn="0" w:lastColumn="0" w:oddVBand="0" w:evenVBand="0" w:oddHBand="0" w:evenHBand="0" w:firstRowFirstColumn="0" w:firstRowLastColumn="0" w:lastRowFirstColumn="0" w:lastRowLastColumn="0"/>
              <w:rPr>
                <w:color w:val="C00000"/>
              </w:rPr>
            </w:pPr>
            <w:r>
              <w:rPr>
                <w:b/>
                <w:color w:val="ED7D31" w:themeColor="accent2"/>
              </w:rPr>
              <w:t xml:space="preserve">Intermediate </w:t>
            </w:r>
            <w:r w:rsidRPr="000F7EBB">
              <w:rPr>
                <w:b/>
                <w:color w:val="ED7D31" w:themeColor="accent2"/>
              </w:rPr>
              <w:t>Steps</w:t>
            </w:r>
            <w:r w:rsidRPr="00C87430">
              <w:rPr>
                <w:color w:val="FFC000"/>
              </w:rPr>
              <w:t xml:space="preserve">: </w:t>
            </w:r>
            <w:r w:rsidRPr="000731DA">
              <w:rPr>
                <w:color w:val="000000" w:themeColor="text1"/>
              </w:rPr>
              <w:t xml:space="preserve">Patients and families begin to have conversations about how to plan and prepare for a potential hospitalization. Hospitals have plans on how to incorporate relevant personal information (e.g., dementia diagnosis) into the </w:t>
            </w:r>
            <w:r>
              <w:rPr>
                <w:color w:val="000000" w:themeColor="text1"/>
              </w:rPr>
              <w:t>electronic health record (EHR)</w:t>
            </w:r>
            <w:r w:rsidRPr="000731DA">
              <w:rPr>
                <w:color w:val="000000" w:themeColor="text1"/>
              </w:rPr>
              <w:t>, procedures performed and care provid</w:t>
            </w:r>
            <w:r>
              <w:rPr>
                <w:color w:val="000000" w:themeColor="text1"/>
              </w:rPr>
              <w:t xml:space="preserve">ed during the hospitalization (e.g., </w:t>
            </w:r>
            <w:r w:rsidRPr="000731DA">
              <w:rPr>
                <w:color w:val="000000" w:themeColor="text1"/>
              </w:rPr>
              <w:t xml:space="preserve">anesthesia and pain protocols), and how to communicate this diagnosis to staff. Discharge protocols </w:t>
            </w:r>
            <w:r>
              <w:rPr>
                <w:color w:val="000000" w:themeColor="text1"/>
              </w:rPr>
              <w:t xml:space="preserve">identify family caregivers and </w:t>
            </w:r>
            <w:r w:rsidRPr="000731DA">
              <w:rPr>
                <w:color w:val="000000" w:themeColor="text1"/>
              </w:rPr>
              <w:t xml:space="preserve">take into consideration needs of patients with dementia and how to support patients either being discharged to home or to a residential care facility. </w:t>
            </w:r>
          </w:p>
          <w:p w:rsidR="00853399" w:rsidP="00BD190E" w:rsidRDefault="00853399" w14:paraId="1F39681D" w14:textId="77777777">
            <w:pPr>
              <w:spacing w:after="120" w:line="24" w:lineRule="atLeast"/>
              <w:cnfStyle w:val="000000000000" w:firstRow="0" w:lastRow="0" w:firstColumn="0" w:lastColumn="0" w:oddVBand="0" w:evenVBand="0" w:oddHBand="0" w:evenHBand="0" w:firstRowFirstColumn="0" w:firstRowLastColumn="0" w:lastRowFirstColumn="0" w:lastRowLastColumn="0"/>
              <w:rPr>
                <w:b/>
                <w:color w:val="ED7D31" w:themeColor="accent2"/>
              </w:rPr>
            </w:pPr>
            <w:r w:rsidRPr="00546D62">
              <w:rPr>
                <w:b/>
                <w:color w:val="ED7D31" w:themeColor="accent2"/>
              </w:rPr>
              <w:t xml:space="preserve">Optimal Care: </w:t>
            </w:r>
          </w:p>
          <w:p w:rsidRPr="00F543E5" w:rsidR="00853399" w:rsidP="00BD190E" w:rsidRDefault="00853399" w14:paraId="785BDAFA" w14:textId="77777777">
            <w:pPr>
              <w:pStyle w:val="ListParagraph"/>
              <w:numPr>
                <w:ilvl w:val="0"/>
                <w:numId w:val="5"/>
              </w:numPr>
              <w:spacing w:after="120" w:line="24" w:lineRule="atLeast"/>
              <w:cnfStyle w:val="000000000000" w:firstRow="0" w:lastRow="0" w:firstColumn="0" w:lastColumn="0" w:oddVBand="0" w:evenVBand="0" w:oddHBand="0" w:evenHBand="0" w:firstRowFirstColumn="0" w:firstRowLastColumn="0" w:lastRowFirstColumn="0" w:lastRowLastColumn="0"/>
              <w:rPr>
                <w:color w:val="000000" w:themeColor="text1"/>
              </w:rPr>
            </w:pPr>
            <w:r w:rsidRPr="00F543E5">
              <w:rPr>
                <w:color w:val="000000" w:themeColor="text1"/>
              </w:rPr>
              <w:lastRenderedPageBreak/>
              <w:t xml:space="preserve">Patients and family members have had conversations early on in the disease process to address patient wishes for </w:t>
            </w:r>
            <w:r w:rsidRPr="00AD6CD0">
              <w:t xml:space="preserve">hospital visits and medical intervention including risks and benefits of hospitalization. This may include using a POLST. </w:t>
            </w:r>
          </w:p>
          <w:p w:rsidRPr="00F543E5" w:rsidR="00853399" w:rsidP="00BD190E" w:rsidRDefault="00853399" w14:paraId="76EC9CBB" w14:textId="77777777">
            <w:pPr>
              <w:pStyle w:val="ListParagraph"/>
              <w:numPr>
                <w:ilvl w:val="0"/>
                <w:numId w:val="5"/>
              </w:numPr>
              <w:spacing w:after="120" w:line="24" w:lineRule="atLeast"/>
              <w:cnfStyle w:val="000000000000" w:firstRow="0" w:lastRow="0" w:firstColumn="0" w:lastColumn="0" w:oddVBand="0" w:evenVBand="0" w:oddHBand="0" w:evenHBand="0" w:firstRowFirstColumn="0" w:firstRowLastColumn="0" w:lastRowFirstColumn="0" w:lastRowLastColumn="0"/>
              <w:rPr>
                <w:color w:val="000000" w:themeColor="text1"/>
              </w:rPr>
            </w:pPr>
            <w:r w:rsidRPr="00AD6CD0">
              <w:t xml:space="preserve">Family and other caregivers understand red flags that may necessitate entry into an acute care setting and understand how to implement the previously developed care plan if the patient is unable to express his or her wishes. </w:t>
            </w:r>
          </w:p>
          <w:p w:rsidR="00853399" w:rsidP="00BD190E" w:rsidRDefault="00853399" w14:paraId="6E45B222" w14:textId="77777777">
            <w:pPr>
              <w:pStyle w:val="ListParagraph"/>
              <w:numPr>
                <w:ilvl w:val="0"/>
                <w:numId w:val="5"/>
              </w:numPr>
              <w:spacing w:after="120" w:line="24" w:lineRule="atLeast"/>
              <w:cnfStyle w:val="000000000000" w:firstRow="0" w:lastRow="0" w:firstColumn="0" w:lastColumn="0" w:oddVBand="0" w:evenVBand="0" w:oddHBand="0" w:evenHBand="0" w:firstRowFirstColumn="0" w:firstRowLastColumn="0" w:lastRowFirstColumn="0" w:lastRowLastColumn="0"/>
              <w:rPr>
                <w:color w:val="000000" w:themeColor="text1"/>
              </w:rPr>
            </w:pPr>
            <w:r w:rsidRPr="00AD6CD0">
              <w:t xml:space="preserve">All treating clinicians and other staff are </w:t>
            </w:r>
            <w:r w:rsidRPr="00F543E5">
              <w:rPr>
                <w:color w:val="000000" w:themeColor="text1"/>
              </w:rPr>
              <w:t xml:space="preserve">aware of the dementia diagnosis and understand the patient’s communication ability, ability to hear, behavioral concerns (e.g., agitation, exit seeking, wandering), and other information that the patient may not be able to communicate (e.g., allergies, other reactions to medications, dietary preference). </w:t>
            </w:r>
          </w:p>
          <w:p w:rsidRPr="00F543E5" w:rsidR="00853399" w:rsidP="00BD190E" w:rsidRDefault="00853399" w14:paraId="02CFBA77" w14:textId="77777777">
            <w:pPr>
              <w:pStyle w:val="ListParagraph"/>
              <w:numPr>
                <w:ilvl w:val="0"/>
                <w:numId w:val="5"/>
              </w:numPr>
              <w:spacing w:after="120" w:line="24" w:lineRule="atLeast"/>
              <w:cnfStyle w:val="000000000000" w:firstRow="0" w:lastRow="0" w:firstColumn="0" w:lastColumn="0" w:oddVBand="0" w:evenVBand="0" w:oddHBand="0" w:evenHBand="0" w:firstRowFirstColumn="0" w:firstRowLastColumn="0" w:lastRowFirstColumn="0" w:lastRowLastColumn="0"/>
              <w:rPr>
                <w:color w:val="000000" w:themeColor="text1"/>
              </w:rPr>
            </w:pPr>
            <w:r w:rsidRPr="00F543E5">
              <w:rPr>
                <w:color w:val="000000" w:themeColor="text1"/>
              </w:rPr>
              <w:t xml:space="preserve">At discharge, the patient and family members </w:t>
            </w:r>
            <w:r w:rsidRPr="00AD6CD0">
              <w:t xml:space="preserve">are supported whether the patient is going home, to their prior facility, or to a residential care facility. Discharge planners facilitate discharge to the most appropriate location given an assessment of the patient’s current status (which may have changed since hospitalization), care partner or facility’s ability to meet needs, and rehabilitation potential.  </w:t>
            </w:r>
          </w:p>
          <w:p w:rsidRPr="00F543E5" w:rsidR="00853399" w:rsidP="00BD190E" w:rsidRDefault="00853399" w14:paraId="7631214C" w14:textId="77777777">
            <w:pPr>
              <w:pStyle w:val="ListParagraph"/>
              <w:numPr>
                <w:ilvl w:val="0"/>
                <w:numId w:val="5"/>
              </w:numPr>
              <w:spacing w:after="120" w:line="24" w:lineRule="atLeast"/>
              <w:cnfStyle w:val="000000000000" w:firstRow="0" w:lastRow="0" w:firstColumn="0" w:lastColumn="0" w:oddVBand="0" w:evenVBand="0" w:oddHBand="0" w:evenHBand="0" w:firstRowFirstColumn="0" w:firstRowLastColumn="0" w:lastRowFirstColumn="0" w:lastRowLastColumn="0"/>
              <w:rPr>
                <w:color w:val="000000" w:themeColor="text1"/>
              </w:rPr>
            </w:pPr>
            <w:r w:rsidRPr="00AD6CD0">
              <w:t xml:space="preserve">The hospital team communicates with the facility or caregiver discharge instructions, current medications, and follow-up appointment needs.    </w:t>
            </w:r>
          </w:p>
        </w:tc>
      </w:tr>
      <w:tr w:rsidRPr="00815AD8" w:rsidR="00853399" w:rsidTr="00853399" w14:paraId="3DC867B9" w14:textId="7777777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98" w:type="pct"/>
          </w:tcPr>
          <w:p w:rsidR="00853399" w:rsidP="00BD190E" w:rsidRDefault="00853399" w14:paraId="4159A372" w14:textId="77777777">
            <w:pPr>
              <w:spacing w:after="120" w:line="24" w:lineRule="atLeast"/>
            </w:pPr>
            <w:r>
              <w:lastRenderedPageBreak/>
              <w:t>6</w:t>
            </w:r>
          </w:p>
        </w:tc>
        <w:tc>
          <w:tcPr>
            <w:tcW w:w="535" w:type="pct"/>
          </w:tcPr>
          <w:p w:rsidRPr="002133F0" w:rsidR="00853399" w:rsidP="00BD190E" w:rsidRDefault="00853399" w14:paraId="26E01326" w14:textId="77777777">
            <w:pPr>
              <w:keepNext/>
              <w:keepLines/>
              <w:spacing w:after="120" w:line="24" w:lineRule="atLeast"/>
              <w:outlineLvl w:val="1"/>
              <w:cnfStyle w:val="000000100000" w:firstRow="0" w:lastRow="0" w:firstColumn="0" w:lastColumn="0" w:oddVBand="0" w:evenVBand="0" w:oddHBand="1" w:evenHBand="0" w:firstRowFirstColumn="0" w:firstRowLastColumn="0" w:lastRowFirstColumn="0" w:lastRowLastColumn="0"/>
              <w:rPr>
                <w:rFonts w:eastAsiaTheme="majorEastAsia" w:cstheme="majorBidi"/>
                <w:b/>
              </w:rPr>
            </w:pPr>
            <w:bookmarkStart w:name="_Toc493574745" w:id="8"/>
            <w:r w:rsidRPr="002133F0">
              <w:rPr>
                <w:rFonts w:eastAsiaTheme="majorEastAsia" w:cstheme="majorBidi"/>
                <w:b/>
              </w:rPr>
              <w:t>Screening for Delirium Risk</w:t>
            </w:r>
            <w:bookmarkEnd w:id="8"/>
            <w:r w:rsidRPr="002133F0">
              <w:rPr>
                <w:rFonts w:eastAsiaTheme="majorEastAsia" w:cstheme="majorBidi"/>
                <w:b/>
              </w:rPr>
              <w:t xml:space="preserve"> </w:t>
            </w:r>
          </w:p>
        </w:tc>
        <w:tc>
          <w:tcPr>
            <w:tcW w:w="867" w:type="pct"/>
          </w:tcPr>
          <w:p w:rsidRPr="002133F0" w:rsidR="00853399" w:rsidP="00BD190E" w:rsidRDefault="00853399" w14:paraId="7D4B5E43" w14:textId="77777777">
            <w:pPr>
              <w:spacing w:after="120" w:line="24" w:lineRule="atLeast"/>
              <w:cnfStyle w:val="000000100000" w:firstRow="0" w:lastRow="0" w:firstColumn="0" w:lastColumn="0" w:oddVBand="0" w:evenVBand="0" w:oddHBand="1" w:evenHBand="0" w:firstRowFirstColumn="0" w:firstRowLastColumn="0" w:lastRowFirstColumn="0" w:lastRowLastColumn="0"/>
              <w:rPr>
                <w:i/>
              </w:rPr>
            </w:pPr>
            <w:r w:rsidRPr="002133F0">
              <w:rPr>
                <w:i/>
              </w:rPr>
              <w:t xml:space="preserve">In a hospital, my care team asks me questions to </w:t>
            </w:r>
            <w:r w:rsidRPr="002133F0">
              <w:rPr>
                <w:i/>
                <w:color w:val="000000" w:themeColor="text1"/>
              </w:rPr>
              <w:t xml:space="preserve">see whether confusion and lack of independence will be an issue, </w:t>
            </w:r>
            <w:r w:rsidRPr="002133F0">
              <w:rPr>
                <w:i/>
              </w:rPr>
              <w:t xml:space="preserve">especially after surgery. I understand what this might mean for me and my recovery.  </w:t>
            </w:r>
          </w:p>
        </w:tc>
        <w:tc>
          <w:tcPr>
            <w:tcW w:w="3500" w:type="pct"/>
          </w:tcPr>
          <w:p w:rsidRPr="002133F0" w:rsidR="00853399" w:rsidP="00BD190E" w:rsidRDefault="00853399" w14:paraId="4F6C18CA" w14:textId="77777777">
            <w:pPr>
              <w:spacing w:after="120" w:line="24" w:lineRule="atLeast"/>
              <w:cnfStyle w:val="000000100000" w:firstRow="0" w:lastRow="0" w:firstColumn="0" w:lastColumn="0" w:oddVBand="0" w:evenVBand="0" w:oddHBand="1" w:evenHBand="0" w:firstRowFirstColumn="0" w:firstRowLastColumn="0" w:lastRowFirstColumn="0" w:lastRowLastColumn="0"/>
              <w:rPr>
                <w:b/>
              </w:rPr>
            </w:pPr>
            <w:r w:rsidRPr="002133F0">
              <w:rPr>
                <w:b/>
                <w:color w:val="ED7D31" w:themeColor="accent2"/>
              </w:rPr>
              <w:t>Current Care:</w:t>
            </w:r>
            <w:r w:rsidRPr="002133F0">
              <w:rPr>
                <w:color w:val="ED7D31" w:themeColor="accent2"/>
              </w:rPr>
              <w:t xml:space="preserve"> </w:t>
            </w:r>
            <w:r w:rsidRPr="002133F0">
              <w:t xml:space="preserve">Screening for </w:t>
            </w:r>
            <w:r w:rsidRPr="002133F0">
              <w:rPr>
                <w:color w:val="000000" w:themeColor="text1"/>
              </w:rPr>
              <w:t xml:space="preserve">delirium or </w:t>
            </w:r>
            <w:r w:rsidRPr="002133F0">
              <w:t xml:space="preserve">incorporation of a patient’s dementia diagnosis into the medical record is not a routine part of hospital care. </w:t>
            </w:r>
          </w:p>
          <w:p w:rsidRPr="002133F0" w:rsidR="00853399" w:rsidP="00BD190E" w:rsidRDefault="00853399" w14:paraId="00FFDF51" w14:textId="77777777">
            <w:pPr>
              <w:spacing w:after="120" w:line="24" w:lineRule="atLeast"/>
              <w:cnfStyle w:val="000000100000" w:firstRow="0" w:lastRow="0" w:firstColumn="0" w:lastColumn="0" w:oddVBand="0" w:evenVBand="0" w:oddHBand="1" w:evenHBand="0" w:firstRowFirstColumn="0" w:firstRowLastColumn="0" w:lastRowFirstColumn="0" w:lastRowLastColumn="0"/>
            </w:pPr>
            <w:r w:rsidRPr="002133F0">
              <w:rPr>
                <w:b/>
                <w:color w:val="ED7D31" w:themeColor="accent2"/>
              </w:rPr>
              <w:t>Intermediate Steps</w:t>
            </w:r>
            <w:r w:rsidRPr="002133F0">
              <w:rPr>
                <w:color w:val="FFC000"/>
              </w:rPr>
              <w:t>:</w:t>
            </w:r>
            <w:r w:rsidRPr="002133F0">
              <w:t xml:space="preserve"> Practices and hospitals may develop a pilot project to incorporate screening for delirium into a specific pre-surgical care pathway (e.g., total joint replacement) with eventual plans to learn from implementation and spread the protocol to all admissions. </w:t>
            </w:r>
          </w:p>
          <w:p w:rsidRPr="002133F0" w:rsidR="00853399" w:rsidP="00BD190E" w:rsidRDefault="00853399" w14:paraId="7326E969" w14:textId="77777777">
            <w:pPr>
              <w:cnfStyle w:val="000000100000" w:firstRow="0" w:lastRow="0" w:firstColumn="0" w:lastColumn="0" w:oddVBand="0" w:evenVBand="0" w:oddHBand="1" w:evenHBand="0" w:firstRowFirstColumn="0" w:firstRowLastColumn="0" w:lastRowFirstColumn="0" w:lastRowLastColumn="0"/>
              <w:rPr>
                <w:color w:val="ED7D31" w:themeColor="accent2"/>
              </w:rPr>
            </w:pPr>
            <w:r w:rsidRPr="002133F0">
              <w:rPr>
                <w:b/>
                <w:color w:val="ED7D31" w:themeColor="accent2"/>
              </w:rPr>
              <w:t>Optimal Care:</w:t>
            </w:r>
            <w:r w:rsidRPr="002133F0">
              <w:rPr>
                <w:color w:val="ED7D31" w:themeColor="accent2"/>
              </w:rPr>
              <w:t xml:space="preserve"> </w:t>
            </w:r>
          </w:p>
          <w:p w:rsidRPr="002133F0" w:rsidR="00853399" w:rsidP="00BD190E" w:rsidRDefault="00853399" w14:paraId="36D549D2" w14:textId="77777777">
            <w:pPr>
              <w:pStyle w:val="ListParagraph"/>
              <w:numPr>
                <w:ilvl w:val="0"/>
                <w:numId w:val="6"/>
              </w:numPr>
              <w:spacing w:line="240" w:lineRule="auto"/>
              <w:cnfStyle w:val="000000100000" w:firstRow="0" w:lastRow="0" w:firstColumn="0" w:lastColumn="0" w:oddVBand="0" w:evenVBand="0" w:oddHBand="1" w:evenHBand="0" w:firstRowFirstColumn="0" w:firstRowLastColumn="0" w:lastRowFirstColumn="0" w:lastRowLastColumn="0"/>
            </w:pPr>
            <w:r w:rsidRPr="002133F0">
              <w:t xml:space="preserve">During hospitalization, all patients 65 years of age or older or with other identifiable risk factors are screened for risk of delirium. Results are incorporated into the medical record and the care team is aware of risk. </w:t>
            </w:r>
          </w:p>
          <w:p w:rsidRPr="002133F0" w:rsidR="00853399" w:rsidP="00BD190E" w:rsidRDefault="00853399" w14:paraId="2F7DD93A" w14:textId="77777777">
            <w:pPr>
              <w:pStyle w:val="ListParagraph"/>
              <w:numPr>
                <w:ilvl w:val="0"/>
                <w:numId w:val="6"/>
              </w:numPr>
              <w:spacing w:line="240" w:lineRule="auto"/>
              <w:cnfStyle w:val="000000100000" w:firstRow="0" w:lastRow="0" w:firstColumn="0" w:lastColumn="0" w:oddVBand="0" w:evenVBand="0" w:oddHBand="1" w:evenHBand="0" w:firstRowFirstColumn="0" w:firstRowLastColumn="0" w:lastRowFirstColumn="0" w:lastRowLastColumn="0"/>
            </w:pPr>
            <w:r w:rsidRPr="002133F0">
              <w:t xml:space="preserve">The patient as well as their family and other caregivers are made aware of the risk of delirium, what symptoms might look and feel like, and what delirium might mean for recovery. </w:t>
            </w:r>
          </w:p>
          <w:p w:rsidRPr="002133F0" w:rsidR="00853399" w:rsidP="00BD190E" w:rsidRDefault="00853399" w14:paraId="0A035B0B" w14:textId="77777777">
            <w:pPr>
              <w:pStyle w:val="ListParagraph"/>
              <w:numPr>
                <w:ilvl w:val="0"/>
                <w:numId w:val="6"/>
              </w:numPr>
              <w:spacing w:line="240" w:lineRule="auto"/>
              <w:cnfStyle w:val="000000100000" w:firstRow="0" w:lastRow="0" w:firstColumn="0" w:lastColumn="0" w:oddVBand="0" w:evenVBand="0" w:oddHBand="1" w:evenHBand="0" w:firstRowFirstColumn="0" w:firstRowLastColumn="0" w:lastRowFirstColumn="0" w:lastRowLastColumn="0"/>
            </w:pPr>
            <w:r w:rsidRPr="002133F0">
              <w:t>Hospitals and providers implement care plans and protocols to minimize risk for delirium and have established plans to respond appropriately when it occurs.</w:t>
            </w:r>
          </w:p>
        </w:tc>
      </w:tr>
    </w:tbl>
    <w:p w:rsidR="002133F0" w:rsidRDefault="002133F0" w14:paraId="0DF56152" w14:textId="77777777">
      <w:pPr>
        <w:spacing w:line="278" w:lineRule="auto"/>
      </w:pPr>
      <w:r>
        <w:br w:type="page"/>
      </w:r>
    </w:p>
    <w:tbl>
      <w:tblPr>
        <w:tblStyle w:val="TableGrid"/>
        <w:tblW w:w="0" w:type="auto"/>
        <w:tblLook w:val="04A0" w:firstRow="1" w:lastRow="0" w:firstColumn="1" w:lastColumn="0" w:noHBand="0" w:noVBand="1"/>
      </w:tblPr>
      <w:tblGrid>
        <w:gridCol w:w="825"/>
        <w:gridCol w:w="4120"/>
        <w:gridCol w:w="8005"/>
      </w:tblGrid>
      <w:tr w:rsidR="002133F0" w:rsidTr="79A192FB" w14:paraId="13E110FC" w14:textId="77777777">
        <w:tc>
          <w:tcPr>
            <w:tcW w:w="825" w:type="dxa"/>
            <w:tcMar/>
          </w:tcPr>
          <w:p w:rsidR="002133F0" w:rsidP="00A9581A" w:rsidRDefault="002133F0" w14:paraId="32E78138" w14:textId="259C0D97">
            <w:r>
              <w:lastRenderedPageBreak/>
              <w:t>Month</w:t>
            </w:r>
          </w:p>
        </w:tc>
        <w:tc>
          <w:tcPr>
            <w:tcW w:w="4120" w:type="dxa"/>
            <w:tcMar/>
          </w:tcPr>
          <w:p w:rsidR="002133F0" w:rsidP="00A9581A" w:rsidRDefault="002133F0" w14:paraId="76550F7E" w14:textId="5721D005">
            <w:r>
              <w:t>Objectives</w:t>
            </w:r>
          </w:p>
        </w:tc>
        <w:tc>
          <w:tcPr>
            <w:tcW w:w="8005" w:type="dxa"/>
            <w:tcMar/>
          </w:tcPr>
          <w:p w:rsidR="002133F0" w:rsidP="00A9581A" w:rsidRDefault="002133F0" w14:paraId="38403FEC" w14:textId="1BCB4B8E">
            <w:r>
              <w:t>Notes</w:t>
            </w:r>
          </w:p>
        </w:tc>
      </w:tr>
      <w:tr w:rsidR="002133F0" w:rsidTr="79A192FB" w14:paraId="0040767B" w14:textId="77777777">
        <w:tc>
          <w:tcPr>
            <w:tcW w:w="825" w:type="dxa"/>
            <w:tcMar/>
          </w:tcPr>
          <w:p w:rsidR="002133F0" w:rsidP="00A9581A" w:rsidRDefault="00CE6969" w14:paraId="3C555BA1" w14:textId="41BB9B90">
            <w:r>
              <w:t>Mar</w:t>
            </w:r>
          </w:p>
        </w:tc>
        <w:tc>
          <w:tcPr>
            <w:tcW w:w="4120" w:type="dxa"/>
            <w:tcMar/>
          </w:tcPr>
          <w:p w:rsidRPr="00BC3F3F" w:rsidR="002133F0" w:rsidP="00BC3F3F" w:rsidRDefault="00CE6969" w14:paraId="355258F7" w14:textId="77777777">
            <w:pPr>
              <w:rPr>
                <w:b/>
                <w:bCs/>
              </w:rPr>
            </w:pPr>
            <w:r w:rsidRPr="00BC3F3F">
              <w:rPr>
                <w:b/>
                <w:bCs/>
              </w:rPr>
              <w:t>Finalize focus areas and workplan</w:t>
            </w:r>
          </w:p>
          <w:p w:rsidR="005458F0" w:rsidP="00BC3F3F" w:rsidRDefault="005458F0" w14:paraId="31A8FF4A" w14:textId="22C85BF8">
            <w:pPr>
              <w:pStyle w:val="ListParagraph"/>
            </w:pPr>
          </w:p>
        </w:tc>
        <w:tc>
          <w:tcPr>
            <w:tcW w:w="8005" w:type="dxa"/>
            <w:tcMar/>
          </w:tcPr>
          <w:p w:rsidR="002133F0" w:rsidP="00A9581A" w:rsidRDefault="00451E19" w14:paraId="52F7191B" w14:textId="77777777">
            <w:r>
              <w:t>Agenda:</w:t>
            </w:r>
          </w:p>
          <w:p w:rsidR="00451E19" w:rsidP="00853399" w:rsidRDefault="00853399" w14:paraId="641C9BC6" w14:textId="51947051">
            <w:pPr>
              <w:pStyle w:val="ListParagraph"/>
              <w:numPr>
                <w:ilvl w:val="0"/>
                <w:numId w:val="7"/>
              </w:numPr>
            </w:pPr>
            <w:r>
              <w:t>Welcome &amp; Framing</w:t>
            </w:r>
            <w:r w:rsidR="002A0F1E">
              <w:t xml:space="preserve"> (10 min)</w:t>
            </w:r>
          </w:p>
          <w:p w:rsidR="00853399" w:rsidP="00853399" w:rsidRDefault="00853399" w14:paraId="4547223E" w14:textId="77777777">
            <w:pPr>
              <w:pStyle w:val="ListParagraph"/>
              <w:numPr>
                <w:ilvl w:val="0"/>
                <w:numId w:val="7"/>
              </w:numPr>
            </w:pPr>
            <w:r>
              <w:t>Review Workplan in Detail (</w:t>
            </w:r>
            <w:r w:rsidR="002207D7">
              <w:t>20 minutes)</w:t>
            </w:r>
          </w:p>
          <w:p w:rsidR="002207D7" w:rsidP="00853399" w:rsidRDefault="002207D7" w14:paraId="3E719060" w14:textId="79C14DCD">
            <w:pPr>
              <w:pStyle w:val="ListParagraph"/>
              <w:numPr>
                <w:ilvl w:val="0"/>
                <w:numId w:val="7"/>
              </w:numPr>
            </w:pPr>
            <w:r>
              <w:t xml:space="preserve">Discuss and decide on preferred </w:t>
            </w:r>
            <w:r w:rsidR="002A0F1E">
              <w:t>work style (15 min)</w:t>
            </w:r>
            <w:r w:rsidR="00F32669">
              <w:t xml:space="preserve"> (may assign to subgroups if that is the direction the workgroup wants to go – we may vote on the design)</w:t>
            </w:r>
          </w:p>
          <w:p w:rsidR="002A0F1E" w:rsidP="00853399" w:rsidRDefault="00F448E2" w14:paraId="3B567E85" w14:textId="062B9F81">
            <w:pPr>
              <w:pStyle w:val="ListParagraph"/>
              <w:numPr>
                <w:ilvl w:val="0"/>
                <w:numId w:val="7"/>
              </w:numPr>
            </w:pPr>
            <w:r>
              <w:t xml:space="preserve">Begin prevention focus area drafting </w:t>
            </w:r>
          </w:p>
        </w:tc>
      </w:tr>
      <w:tr w:rsidR="002133F0" w:rsidTr="79A192FB" w14:paraId="3AD883EC" w14:textId="77777777">
        <w:tc>
          <w:tcPr>
            <w:tcW w:w="825" w:type="dxa"/>
            <w:tcMar/>
          </w:tcPr>
          <w:p w:rsidR="002133F0" w:rsidP="00A9581A" w:rsidRDefault="00CE6969" w14:paraId="440E0F12" w14:textId="4B63D486">
            <w:r>
              <w:t>Apr</w:t>
            </w:r>
          </w:p>
        </w:tc>
        <w:tc>
          <w:tcPr>
            <w:tcW w:w="4120" w:type="dxa"/>
            <w:tcMar/>
          </w:tcPr>
          <w:p w:rsidRPr="00B573B0" w:rsidR="009B6A82" w:rsidP="009B6A82" w:rsidRDefault="009B6A82" w14:paraId="533CE9CA" w14:textId="0CC7D273">
            <w:pPr>
              <w:rPr>
                <w:b/>
                <w:bCs/>
              </w:rPr>
            </w:pPr>
            <w:r w:rsidRPr="00B573B0">
              <w:rPr>
                <w:b/>
                <w:bCs/>
              </w:rPr>
              <w:t>Prevention</w:t>
            </w:r>
          </w:p>
          <w:p w:rsidR="002133F0" w:rsidP="009B6A82" w:rsidRDefault="009B6A82" w14:paraId="5C75D8EC" w14:textId="0707D9D8">
            <w:pPr>
              <w:pStyle w:val="ListParagraph"/>
              <w:numPr>
                <w:ilvl w:val="0"/>
                <w:numId w:val="7"/>
              </w:numPr>
            </w:pPr>
            <w:r>
              <w:t>Review evidence and draft guidelines for:</w:t>
            </w:r>
          </w:p>
          <w:p w:rsidR="00D5315E" w:rsidP="00D5315E" w:rsidRDefault="00D5315E" w14:paraId="5EE9E072" w14:textId="77777777">
            <w:pPr>
              <w:pStyle w:val="ListParagraph"/>
              <w:numPr>
                <w:ilvl w:val="1"/>
                <w:numId w:val="7"/>
              </w:numPr>
            </w:pPr>
            <w:r>
              <w:t xml:space="preserve">Aggressive treatment of hypertension, diabetes, and hyperlipidemia in midlife and beyond. </w:t>
            </w:r>
          </w:p>
          <w:p w:rsidR="00D5315E" w:rsidP="00D5315E" w:rsidRDefault="00D5315E" w14:paraId="4D545D44" w14:textId="77777777">
            <w:pPr>
              <w:pStyle w:val="ListParagraph"/>
              <w:numPr>
                <w:ilvl w:val="1"/>
                <w:numId w:val="7"/>
              </w:numPr>
            </w:pPr>
            <w:r>
              <w:t>Routine screening and referral for hearing loss and visual impairment; Routine screening and treatment for depression and anxiety</w:t>
            </w:r>
          </w:p>
          <w:p w:rsidR="00D5315E" w:rsidP="00D5315E" w:rsidRDefault="00AF5A65" w14:paraId="388ACA1A" w14:textId="1596DAF5">
            <w:pPr>
              <w:pStyle w:val="ListParagraph"/>
              <w:numPr>
                <w:ilvl w:val="1"/>
                <w:numId w:val="7"/>
              </w:numPr>
            </w:pPr>
            <w:r>
              <w:t>Closed-loop r</w:t>
            </w:r>
            <w:r w:rsidR="00D5315E">
              <w:t>eferral to community programs (physical activity, nutrition, community building)</w:t>
            </w:r>
          </w:p>
          <w:p w:rsidR="00D67B1F" w:rsidP="009B6A82" w:rsidRDefault="00D67B1F" w14:paraId="6A64FCD4" w14:textId="639B91EF">
            <w:pPr>
              <w:pStyle w:val="ListParagraph"/>
              <w:numPr>
                <w:ilvl w:val="1"/>
                <w:numId w:val="7"/>
              </w:numPr>
            </w:pPr>
            <w:r>
              <w:t>Existing measures/metrics used in VBP in Washington state</w:t>
            </w:r>
          </w:p>
        </w:tc>
        <w:tc>
          <w:tcPr>
            <w:tcW w:w="8005" w:type="dxa"/>
            <w:tcMar/>
          </w:tcPr>
          <w:p w:rsidR="002133F0" w:rsidP="00A9581A" w:rsidRDefault="00E30B11" w14:paraId="2662352A" w14:textId="77777777">
            <w:r>
              <w:t xml:space="preserve">Agenda: </w:t>
            </w:r>
          </w:p>
          <w:p w:rsidR="00E30B11" w:rsidP="00E30B11" w:rsidRDefault="002204ED" w14:paraId="04BD2A5E" w14:textId="3701F93C">
            <w:pPr>
              <w:pStyle w:val="ListParagraph"/>
              <w:numPr>
                <w:ilvl w:val="0"/>
                <w:numId w:val="7"/>
              </w:numPr>
            </w:pPr>
            <w:r>
              <w:t>Welcome &amp; Framing</w:t>
            </w:r>
            <w:r w:rsidR="00E30B11">
              <w:t xml:space="preserve"> (</w:t>
            </w:r>
            <w:r>
              <w:t xml:space="preserve">10 </w:t>
            </w:r>
            <w:r w:rsidR="00E30B11">
              <w:t>min)</w:t>
            </w:r>
          </w:p>
          <w:p w:rsidR="00696E94" w:rsidP="00696E94" w:rsidRDefault="00E30B11" w14:paraId="559726C9" w14:textId="69AC3814">
            <w:pPr>
              <w:pStyle w:val="ListParagraph"/>
              <w:numPr>
                <w:ilvl w:val="0"/>
                <w:numId w:val="7"/>
              </w:numPr>
            </w:pPr>
            <w:r>
              <w:t>Risk factor</w:t>
            </w:r>
            <w:r w:rsidR="00A66BED">
              <w:t xml:space="preserve"> evidence review</w:t>
            </w:r>
            <w:r>
              <w:t xml:space="preserve">: </w:t>
            </w:r>
            <w:r w:rsidR="00A66BED">
              <w:t>Review of pre-read</w:t>
            </w:r>
            <w:r w:rsidR="00696E94">
              <w:t>s (20 min)</w:t>
            </w:r>
          </w:p>
          <w:p w:rsidR="00E30B11" w:rsidP="00E30B11" w:rsidRDefault="00A66BED" w14:paraId="0095917D" w14:textId="219EFCC4">
            <w:pPr>
              <w:pStyle w:val="ListParagraph"/>
              <w:numPr>
                <w:ilvl w:val="0"/>
                <w:numId w:val="7"/>
              </w:numPr>
            </w:pPr>
            <w:r>
              <w:t xml:space="preserve">Breakout rooms: </w:t>
            </w:r>
            <w:r w:rsidR="00696E94">
              <w:t>goal to review drafted language for prevention</w:t>
            </w:r>
            <w:r w:rsidR="00AF5A65">
              <w:t xml:space="preserve"> and suggested paired measures/metrics</w:t>
            </w:r>
            <w:r w:rsidR="00696E94">
              <w:t xml:space="preserve"> (</w:t>
            </w:r>
            <w:r w:rsidR="00F5093D">
              <w:t>30</w:t>
            </w:r>
            <w:r w:rsidR="003A757D">
              <w:t xml:space="preserve"> min)</w:t>
            </w:r>
          </w:p>
          <w:p w:rsidR="00A66BED" w:rsidP="00A66BED" w:rsidRDefault="00A66BED" w14:paraId="7F777922" w14:textId="4C6ADEDE">
            <w:pPr>
              <w:pStyle w:val="ListParagraph"/>
              <w:numPr>
                <w:ilvl w:val="1"/>
                <w:numId w:val="7"/>
              </w:numPr>
            </w:pPr>
            <w:r>
              <w:t xml:space="preserve">Chronic disease prevention </w:t>
            </w:r>
            <w:r w:rsidR="00AD1378">
              <w:t>(hypertension, diabetes, hyperlipidemia, obesity)</w:t>
            </w:r>
          </w:p>
          <w:p w:rsidR="00A66BED" w:rsidP="00A66BED" w:rsidRDefault="00A66BED" w14:paraId="79DB531E" w14:textId="3A0CDEC4">
            <w:pPr>
              <w:pStyle w:val="ListParagraph"/>
              <w:numPr>
                <w:ilvl w:val="1"/>
                <w:numId w:val="7"/>
              </w:numPr>
            </w:pPr>
            <w:r>
              <w:t>Screening and referral for hearing loss/visual impairment; screening and treatment for depression/anxiety</w:t>
            </w:r>
          </w:p>
          <w:p w:rsidR="00A66BED" w:rsidP="00A66BED" w:rsidRDefault="00A66BED" w14:paraId="7209CF9E" w14:textId="70518545">
            <w:pPr>
              <w:pStyle w:val="ListParagraph"/>
              <w:numPr>
                <w:ilvl w:val="1"/>
                <w:numId w:val="7"/>
              </w:numPr>
            </w:pPr>
            <w:r>
              <w:t>Community linkages for prevention (social isolation, physical activity, nutrition)</w:t>
            </w:r>
          </w:p>
          <w:p w:rsidR="00171020" w:rsidP="00E30B11" w:rsidRDefault="00A66BED" w14:paraId="111D52C0" w14:textId="3D669FB5">
            <w:pPr>
              <w:pStyle w:val="ListParagraph"/>
              <w:numPr>
                <w:ilvl w:val="0"/>
                <w:numId w:val="7"/>
              </w:numPr>
            </w:pPr>
            <w:r>
              <w:t>Share Out</w:t>
            </w:r>
            <w:r w:rsidR="00F5093D">
              <w:t xml:space="preserve"> &amp; Revise</w:t>
            </w:r>
            <w:r w:rsidR="00171020">
              <w:t xml:space="preserve"> (</w:t>
            </w:r>
            <w:r w:rsidR="00F5093D">
              <w:t>2</w:t>
            </w:r>
            <w:r w:rsidR="00171020">
              <w:t>5</w:t>
            </w:r>
            <w:r w:rsidR="00F5093D">
              <w:t xml:space="preserve"> min</w:t>
            </w:r>
            <w:r w:rsidR="00171020">
              <w:t>)</w:t>
            </w:r>
          </w:p>
          <w:p w:rsidR="00171020" w:rsidP="00E30B11" w:rsidRDefault="00171020" w14:paraId="0E6ECEB9" w14:textId="77777777">
            <w:pPr>
              <w:pStyle w:val="ListParagraph"/>
              <w:numPr>
                <w:ilvl w:val="0"/>
                <w:numId w:val="7"/>
              </w:numPr>
            </w:pPr>
            <w:r>
              <w:t>Closing (5 min)</w:t>
            </w:r>
          </w:p>
          <w:p w:rsidR="00F83844" w:rsidP="00F83844" w:rsidRDefault="00F83844" w14:paraId="5814BBD7" w14:textId="77777777">
            <w:r>
              <w:t>Deliverables:</w:t>
            </w:r>
          </w:p>
          <w:p w:rsidR="00F83844" w:rsidP="00F83844" w:rsidRDefault="00A66BED" w14:paraId="28D9327E" w14:textId="0C56E259">
            <w:pPr>
              <w:pStyle w:val="ListParagraph"/>
              <w:numPr>
                <w:ilvl w:val="0"/>
                <w:numId w:val="7"/>
              </w:numPr>
            </w:pPr>
            <w:r>
              <w:t xml:space="preserve">Draft guidelines for </w:t>
            </w:r>
            <w:r w:rsidR="00A230C7">
              <w:t>Prevention focus area</w:t>
            </w:r>
          </w:p>
          <w:p w:rsidR="00F83844" w:rsidP="00F83844" w:rsidRDefault="00C845D8" w14:paraId="14C760DD" w14:textId="6C38BAD9">
            <w:r>
              <w:t>Pre-</w:t>
            </w:r>
            <w:r w:rsidR="000903DD">
              <w:t>reads</w:t>
            </w:r>
          </w:p>
          <w:p w:rsidR="000903DD" w:rsidP="00C845D8" w:rsidRDefault="000903DD" w14:paraId="6FA78DB2" w14:textId="44F11771">
            <w:pPr>
              <w:pStyle w:val="ListParagraph"/>
              <w:numPr>
                <w:ilvl w:val="0"/>
                <w:numId w:val="7"/>
              </w:numPr>
            </w:pPr>
            <w:r>
              <w:t>Lancet Commission Report 2024</w:t>
            </w:r>
          </w:p>
          <w:p w:rsidR="000903DD" w:rsidP="00C845D8" w:rsidRDefault="000903DD" w14:paraId="29D129AC" w14:textId="01FED645">
            <w:pPr>
              <w:pStyle w:val="ListParagraph"/>
              <w:numPr>
                <w:ilvl w:val="0"/>
                <w:numId w:val="7"/>
              </w:numPr>
            </w:pPr>
            <w:hyperlink w:history="1" r:id="rId12">
              <w:r w:rsidRPr="00DB6DCE">
                <w:rPr>
                  <w:rStyle w:val="Hyperlink"/>
                </w:rPr>
                <w:t xml:space="preserve">WHO </w:t>
              </w:r>
              <w:r w:rsidRPr="00DB6DCE" w:rsidR="00DB6DCE">
                <w:rPr>
                  <w:rStyle w:val="Hyperlink"/>
                </w:rPr>
                <w:t>Optimizing Brain Health Across the Lifespan</w:t>
              </w:r>
            </w:hyperlink>
          </w:p>
          <w:p w:rsidR="00A66BED" w:rsidP="00C845D8" w:rsidRDefault="00A66BED" w14:paraId="1463D4CE" w14:textId="11C4759F">
            <w:pPr>
              <w:pStyle w:val="ListParagraph"/>
              <w:numPr>
                <w:ilvl w:val="0"/>
                <w:numId w:val="7"/>
              </w:numPr>
            </w:pPr>
            <w:hyperlink w:history="1" r:id="rId13">
              <w:r w:rsidRPr="00A66BED">
                <w:rPr>
                  <w:rStyle w:val="Hyperlink"/>
                </w:rPr>
                <w:t>ACPM: Community Linkages to Promote Brain Health</w:t>
              </w:r>
            </w:hyperlink>
          </w:p>
          <w:p w:rsidR="00C845D8" w:rsidP="00C845D8" w:rsidRDefault="00AF5A65" w14:paraId="3F4450B2" w14:textId="5BE5BDB1">
            <w:pPr>
              <w:pStyle w:val="ListParagraph"/>
              <w:numPr>
                <w:ilvl w:val="0"/>
                <w:numId w:val="7"/>
              </w:numPr>
            </w:pPr>
            <w:r>
              <w:t>Others??</w:t>
            </w:r>
          </w:p>
        </w:tc>
      </w:tr>
      <w:tr w:rsidR="002133F0" w:rsidTr="79A192FB" w14:paraId="0C847182" w14:textId="77777777">
        <w:tc>
          <w:tcPr>
            <w:tcW w:w="825" w:type="dxa"/>
            <w:tcMar/>
          </w:tcPr>
          <w:p w:rsidR="002133F0" w:rsidP="00A9581A" w:rsidRDefault="00CE6969" w14:paraId="1F49C49C" w14:textId="6884B069">
            <w:r>
              <w:t>May</w:t>
            </w:r>
          </w:p>
        </w:tc>
        <w:tc>
          <w:tcPr>
            <w:tcW w:w="4120" w:type="dxa"/>
            <w:tcMar/>
          </w:tcPr>
          <w:p w:rsidRPr="00B573B0" w:rsidR="00C845D8" w:rsidP="00C845D8" w:rsidRDefault="00C845D8" w14:paraId="59D9531F" w14:textId="4C419C93">
            <w:pPr>
              <w:rPr>
                <w:b/>
                <w:bCs/>
              </w:rPr>
            </w:pPr>
            <w:r w:rsidRPr="00B573B0">
              <w:rPr>
                <w:b/>
                <w:bCs/>
              </w:rPr>
              <w:t>Early Detection &amp; Diagnosis</w:t>
            </w:r>
          </w:p>
          <w:p w:rsidR="009B6A82" w:rsidP="009B6A82" w:rsidRDefault="009B6A82" w14:paraId="5D11DCD6" w14:textId="58F8BF8C">
            <w:pPr>
              <w:pStyle w:val="ListParagraph"/>
              <w:numPr>
                <w:ilvl w:val="0"/>
                <w:numId w:val="7"/>
              </w:numPr>
            </w:pPr>
            <w:r>
              <w:t>Review evidence and draft guidelines for:</w:t>
            </w:r>
          </w:p>
          <w:p w:rsidR="002133F0" w:rsidP="00C845D8" w:rsidRDefault="00C845D8" w14:paraId="229AE242" w14:textId="77777777">
            <w:pPr>
              <w:pStyle w:val="ListParagraph"/>
              <w:numPr>
                <w:ilvl w:val="1"/>
                <w:numId w:val="7"/>
              </w:numPr>
            </w:pPr>
            <w:r>
              <w:lastRenderedPageBreak/>
              <w:t>Screening and case detection workflow</w:t>
            </w:r>
          </w:p>
          <w:p w:rsidR="00C845D8" w:rsidP="00F1619F" w:rsidRDefault="00C845D8" w14:paraId="6C086046" w14:textId="586B5404">
            <w:pPr>
              <w:pStyle w:val="ListParagraph"/>
              <w:numPr>
                <w:ilvl w:val="1"/>
                <w:numId w:val="7"/>
              </w:numPr>
            </w:pPr>
            <w:r>
              <w:t>Blood-based biomarker framework and use cases</w:t>
            </w:r>
          </w:p>
        </w:tc>
        <w:tc>
          <w:tcPr>
            <w:tcW w:w="8005" w:type="dxa"/>
            <w:tcMar/>
          </w:tcPr>
          <w:p w:rsidR="002133F0" w:rsidP="00A9581A" w:rsidRDefault="00821406" w14:paraId="45550EC2" w14:textId="77777777">
            <w:r>
              <w:lastRenderedPageBreak/>
              <w:t>Agenda:</w:t>
            </w:r>
          </w:p>
          <w:p w:rsidR="00821406" w:rsidP="00821406" w:rsidRDefault="002204ED" w14:paraId="51F13E3B" w14:textId="3BF5427D">
            <w:pPr>
              <w:pStyle w:val="ListParagraph"/>
              <w:numPr>
                <w:ilvl w:val="0"/>
                <w:numId w:val="7"/>
              </w:numPr>
            </w:pPr>
            <w:r>
              <w:t xml:space="preserve">Welcome &amp; </w:t>
            </w:r>
            <w:r w:rsidR="00821406">
              <w:t xml:space="preserve">Framing (10 min) </w:t>
            </w:r>
          </w:p>
          <w:p w:rsidR="00821406" w:rsidP="00821406" w:rsidRDefault="002204ED" w14:paraId="43953A55" w14:textId="124817F8">
            <w:pPr>
              <w:pStyle w:val="ListParagraph"/>
              <w:numPr>
                <w:ilvl w:val="0"/>
                <w:numId w:val="7"/>
              </w:numPr>
            </w:pPr>
            <w:r>
              <w:t xml:space="preserve">Case </w:t>
            </w:r>
            <w:commentRangeStart w:id="9"/>
            <w:r>
              <w:t xml:space="preserve">detection </w:t>
            </w:r>
            <w:commentRangeEnd w:id="9"/>
            <w:r w:rsidR="00C94F3E">
              <w:rPr>
                <w:rStyle w:val="CommentReference"/>
              </w:rPr>
              <w:commentReference w:id="9"/>
            </w:r>
            <w:r>
              <w:t xml:space="preserve">brief </w:t>
            </w:r>
            <w:r w:rsidRPr="003D7350">
              <w:rPr>
                <w:b/>
                <w:bCs/>
              </w:rPr>
              <w:t>presentations</w:t>
            </w:r>
            <w:r>
              <w:t xml:space="preserve">: </w:t>
            </w:r>
          </w:p>
          <w:p w:rsidR="002204ED" w:rsidP="002204ED" w:rsidRDefault="00640936" w14:paraId="1F9A6B1A" w14:textId="0DA7432F">
            <w:pPr>
              <w:pStyle w:val="ListParagraph"/>
              <w:numPr>
                <w:ilvl w:val="1"/>
                <w:numId w:val="7"/>
              </w:numPr>
            </w:pPr>
            <w:r>
              <w:t>Cognition in Primary Care</w:t>
            </w:r>
            <w:r w:rsidR="003D7350">
              <w:t xml:space="preserve"> (Dr. Gaster)</w:t>
            </w:r>
            <w:r w:rsidR="002204ED">
              <w:t xml:space="preserve"> (10 min)</w:t>
            </w:r>
          </w:p>
          <w:p w:rsidR="002204ED" w:rsidP="00F5093D" w:rsidRDefault="00640936" w14:paraId="6DAB1271" w14:textId="37374AB2">
            <w:pPr>
              <w:pStyle w:val="ListParagraph"/>
              <w:numPr>
                <w:ilvl w:val="1"/>
                <w:numId w:val="7"/>
              </w:numPr>
            </w:pPr>
            <w:r>
              <w:lastRenderedPageBreak/>
              <w:t>Optum</w:t>
            </w:r>
            <w:r w:rsidR="002204ED">
              <w:t xml:space="preserve"> </w:t>
            </w:r>
            <w:r w:rsidR="003D7350">
              <w:t xml:space="preserve">(Dr. Levine) </w:t>
            </w:r>
            <w:r w:rsidR="002204ED">
              <w:t>(10 min)</w:t>
            </w:r>
          </w:p>
          <w:p w:rsidR="00F5093D" w:rsidP="00F5093D" w:rsidRDefault="00640936" w14:paraId="50EC3B25" w14:textId="2D7DD8C1">
            <w:pPr>
              <w:pStyle w:val="ListParagraph"/>
              <w:numPr>
                <w:ilvl w:val="0"/>
                <w:numId w:val="7"/>
              </w:numPr>
            </w:pPr>
            <w:r>
              <w:t>Review and Revise Case Updates to Detection &amp; Diagnosis Guidelines</w:t>
            </w:r>
            <w:r w:rsidR="00B573B0">
              <w:t xml:space="preserve"> (30 min)</w:t>
            </w:r>
          </w:p>
          <w:p w:rsidR="00640936" w:rsidP="00F5093D" w:rsidRDefault="00B573B0" w14:paraId="5B602715" w14:textId="4A284FBB">
            <w:pPr>
              <w:pStyle w:val="ListParagraph"/>
              <w:numPr>
                <w:ilvl w:val="0"/>
                <w:numId w:val="7"/>
              </w:numPr>
            </w:pPr>
            <w:r>
              <w:t>Review and Revise Blood-based biomarker framework</w:t>
            </w:r>
            <w:r w:rsidR="00AD1378">
              <w:t xml:space="preserve"> and use cases (25 min)</w:t>
            </w:r>
          </w:p>
          <w:p w:rsidR="00821406" w:rsidP="00821406" w:rsidRDefault="00AD1378" w14:paraId="4252F83F" w14:textId="0302BD31">
            <w:pPr>
              <w:pStyle w:val="ListParagraph"/>
              <w:numPr>
                <w:ilvl w:val="0"/>
                <w:numId w:val="7"/>
              </w:numPr>
            </w:pPr>
            <w:r>
              <w:t>Close (5 min)</w:t>
            </w:r>
          </w:p>
          <w:p w:rsidR="00821406" w:rsidP="00821406" w:rsidRDefault="00821406" w14:paraId="0E5F0D93" w14:textId="77777777">
            <w:r>
              <w:t>Deliverables</w:t>
            </w:r>
          </w:p>
          <w:p w:rsidR="00821406" w:rsidP="00821406" w:rsidRDefault="00821406" w14:paraId="02C0B1CB" w14:textId="3BBDF3BA">
            <w:pPr>
              <w:pStyle w:val="ListParagraph"/>
              <w:numPr>
                <w:ilvl w:val="0"/>
                <w:numId w:val="7"/>
              </w:numPr>
            </w:pPr>
            <w:r>
              <w:t xml:space="preserve">Updated </w:t>
            </w:r>
            <w:r w:rsidR="00AD1378">
              <w:t>guidelines for case detection, diagnosis, and education</w:t>
            </w:r>
          </w:p>
          <w:p w:rsidR="00AD1378" w:rsidP="00821406" w:rsidRDefault="00AD1378" w14:paraId="658E0AA9" w14:textId="77777777">
            <w:pPr>
              <w:pStyle w:val="ListParagraph"/>
              <w:numPr>
                <w:ilvl w:val="0"/>
                <w:numId w:val="7"/>
              </w:numPr>
            </w:pPr>
            <w:r>
              <w:t xml:space="preserve">Framework to guide clinical decision-making and payor coverage of blood based biomarker testing </w:t>
            </w:r>
          </w:p>
          <w:p w:rsidR="00821406" w:rsidP="00AD1378" w:rsidRDefault="00821406" w14:paraId="4F2F1F2E" w14:textId="77777777">
            <w:r>
              <w:t>Pre-</w:t>
            </w:r>
            <w:r w:rsidR="00AD1378">
              <w:t>reads</w:t>
            </w:r>
          </w:p>
          <w:p w:rsidR="00AA5077" w:rsidP="00AD1378" w:rsidRDefault="00AA5077" w14:paraId="0CA7CA5A" w14:textId="22A6EEE3">
            <w:pPr>
              <w:pStyle w:val="ListParagraph"/>
              <w:numPr>
                <w:ilvl w:val="0"/>
                <w:numId w:val="7"/>
              </w:numPr>
            </w:pPr>
            <w:hyperlink w:history="1" r:id="rId14">
              <w:r w:rsidRPr="00AA5077">
                <w:rPr>
                  <w:rStyle w:val="Hyperlink"/>
                </w:rPr>
                <w:t>Nonphysician Care Providers Can Help to Increase Detection of Cognitive Impairment and Encourage Diagnostic Evaluation for Dementia in Community and Residential Care Settings</w:t>
              </w:r>
            </w:hyperlink>
          </w:p>
          <w:p w:rsidR="004338A9" w:rsidP="00AD1378" w:rsidRDefault="0097560D" w14:paraId="1623CD66" w14:textId="1F2FED1A">
            <w:pPr>
              <w:pStyle w:val="ListParagraph"/>
              <w:numPr>
                <w:ilvl w:val="0"/>
                <w:numId w:val="7"/>
              </w:numPr>
            </w:pPr>
            <w:r>
              <w:t>KAER toolkit for brain health</w:t>
            </w:r>
          </w:p>
          <w:p w:rsidR="00AD1378" w:rsidP="00AD1378" w:rsidRDefault="00AD1378" w14:paraId="7793F208" w14:textId="7FCC3404">
            <w:pPr>
              <w:pStyle w:val="ListParagraph"/>
              <w:numPr>
                <w:ilvl w:val="0"/>
                <w:numId w:val="7"/>
              </w:numPr>
              <w:rPr/>
            </w:pPr>
            <w:r w:rsidR="79A192FB">
              <w:rPr/>
              <w:t xml:space="preserve">CMS payor coverage of blood-based biomarkers; Medicare Annual Wellness Visit </w:t>
            </w:r>
            <w:r w:rsidR="79A192FB">
              <w:rPr/>
              <w:t>coverage</w:t>
            </w:r>
          </w:p>
          <w:p w:rsidR="003D7350" w:rsidP="003A0B1B" w:rsidRDefault="00F1619F" w14:paraId="144BF5B8" w14:textId="77777777">
            <w:pPr>
              <w:pStyle w:val="ListParagraph"/>
              <w:numPr>
                <w:ilvl w:val="0"/>
                <w:numId w:val="7"/>
              </w:numPr>
            </w:pPr>
            <w:r>
              <w:t>Alz Association Blood Based Biomarkers guidelines</w:t>
            </w:r>
          </w:p>
          <w:p w:rsidR="003A0B1B" w:rsidP="003A0B1B" w:rsidRDefault="003A0B1B" w14:paraId="186241D6" w14:textId="599D3ECB">
            <w:pPr>
              <w:pStyle w:val="ListParagraph"/>
              <w:numPr>
                <w:ilvl w:val="0"/>
                <w:numId w:val="7"/>
              </w:numPr>
            </w:pPr>
            <w:r>
              <w:t>Others?</w:t>
            </w:r>
          </w:p>
        </w:tc>
      </w:tr>
      <w:tr w:rsidR="002133F0" w:rsidTr="79A192FB" w14:paraId="0718A5B2" w14:textId="77777777">
        <w:tc>
          <w:tcPr>
            <w:tcW w:w="825" w:type="dxa"/>
            <w:tcMar/>
          </w:tcPr>
          <w:p w:rsidR="002133F0" w:rsidP="00A9581A" w:rsidRDefault="00CE6969" w14:paraId="500335A2" w14:textId="15235741">
            <w:r>
              <w:lastRenderedPageBreak/>
              <w:t>Jun</w:t>
            </w:r>
          </w:p>
        </w:tc>
        <w:tc>
          <w:tcPr>
            <w:tcW w:w="4120" w:type="dxa"/>
            <w:tcMar/>
          </w:tcPr>
          <w:p w:rsidRPr="00B573B0" w:rsidR="006F1D6C" w:rsidP="006F1D6C" w:rsidRDefault="006F1D6C" w14:paraId="7023B397" w14:textId="77777777">
            <w:pPr>
              <w:rPr>
                <w:b/>
                <w:bCs/>
              </w:rPr>
            </w:pPr>
            <w:r w:rsidRPr="00B573B0">
              <w:rPr>
                <w:b/>
                <w:bCs/>
              </w:rPr>
              <w:t>Early Detection &amp; Diagnosis</w:t>
            </w:r>
          </w:p>
          <w:p w:rsidRPr="006F1D6C" w:rsidR="006F1D6C" w:rsidP="006F1D6C" w:rsidRDefault="006F1D6C" w14:paraId="1004B56B" w14:textId="002CE6C1">
            <w:pPr>
              <w:rPr>
                <w:b/>
                <w:bCs/>
              </w:rPr>
            </w:pPr>
            <w:r w:rsidRPr="006F1D6C">
              <w:rPr>
                <w:b/>
                <w:bCs/>
              </w:rPr>
              <w:t>+ Ongoing Care, Support and Management</w:t>
            </w:r>
          </w:p>
          <w:p w:rsidR="0097560D" w:rsidP="0097560D" w:rsidRDefault="0097560D" w14:paraId="17532061" w14:textId="6E5362DD">
            <w:pPr>
              <w:pStyle w:val="ListParagraph"/>
              <w:numPr>
                <w:ilvl w:val="0"/>
                <w:numId w:val="7"/>
              </w:numPr>
            </w:pPr>
            <w:r>
              <w:t xml:space="preserve">Finalize blood-based biomarker framework </w:t>
            </w:r>
          </w:p>
          <w:p w:rsidR="0097560D" w:rsidP="0097560D" w:rsidRDefault="0097560D" w14:paraId="70F136D2" w14:textId="0474FE79">
            <w:pPr>
              <w:pStyle w:val="ListParagraph"/>
              <w:numPr>
                <w:ilvl w:val="0"/>
                <w:numId w:val="7"/>
              </w:numPr>
            </w:pPr>
            <w:r>
              <w:t>Review evidence and draft guidelines for:</w:t>
            </w:r>
          </w:p>
          <w:p w:rsidR="00AD1378" w:rsidP="002B44F9" w:rsidRDefault="002B44F9" w14:paraId="262D648A" w14:textId="2A8FC263">
            <w:pPr>
              <w:pStyle w:val="ListParagraph"/>
              <w:numPr>
                <w:ilvl w:val="1"/>
                <w:numId w:val="7"/>
              </w:numPr>
            </w:pPr>
            <w:r>
              <w:t>APOE genotyping and AMA (mAb) eligibility, use, diagnostics, ARIA monitoring, and operational framework across primary and specialty care</w:t>
            </w:r>
          </w:p>
        </w:tc>
        <w:tc>
          <w:tcPr>
            <w:tcW w:w="8005" w:type="dxa"/>
            <w:tcMar/>
          </w:tcPr>
          <w:p w:rsidR="00AD1378" w:rsidP="00AD1378" w:rsidRDefault="00AD1378" w14:paraId="4A285ED3" w14:textId="080FE3AF">
            <w:r>
              <w:t>Agenda</w:t>
            </w:r>
          </w:p>
          <w:p w:rsidR="003D7350" w:rsidP="00AD1378" w:rsidRDefault="003D7350" w14:paraId="0DD19E30" w14:textId="77777777">
            <w:pPr>
              <w:pStyle w:val="ListParagraph"/>
              <w:numPr>
                <w:ilvl w:val="0"/>
                <w:numId w:val="7"/>
              </w:numPr>
            </w:pPr>
            <w:r>
              <w:t xml:space="preserve">Welcome &amp; Framing (10 min) </w:t>
            </w:r>
          </w:p>
          <w:p w:rsidR="00B9252F" w:rsidP="00AD1378" w:rsidRDefault="00B1230C" w14:paraId="33B6EBEA" w14:textId="272DD0F3">
            <w:pPr>
              <w:pStyle w:val="ListParagraph"/>
              <w:numPr>
                <w:ilvl w:val="0"/>
                <w:numId w:val="7"/>
              </w:numPr>
            </w:pPr>
            <w:r>
              <w:t>Revisit and finalize</w:t>
            </w:r>
            <w:r w:rsidR="00B9252F">
              <w:t xml:space="preserve"> blood-based biomarker framework (10 min)</w:t>
            </w:r>
          </w:p>
          <w:p w:rsidR="003D7350" w:rsidP="00AD1378" w:rsidRDefault="003D7350" w14:paraId="2E45877A" w14:textId="57207CB0">
            <w:pPr>
              <w:pStyle w:val="ListParagraph"/>
              <w:numPr>
                <w:ilvl w:val="0"/>
                <w:numId w:val="7"/>
              </w:numPr>
            </w:pPr>
            <w:r>
              <w:t>Review of pre-reads: (</w:t>
            </w:r>
            <w:r w:rsidR="00B9252F">
              <w:t>25 min)</w:t>
            </w:r>
          </w:p>
          <w:p w:rsidR="00AD1378" w:rsidP="00AD1378" w:rsidRDefault="00B1230C" w14:paraId="0D8F54E8" w14:textId="6E78F57E">
            <w:pPr>
              <w:pStyle w:val="ListParagraph"/>
              <w:numPr>
                <w:ilvl w:val="0"/>
                <w:numId w:val="7"/>
              </w:numPr>
            </w:pPr>
            <w:r>
              <w:t>APOE genotyping and AMA (mAb) eligibility, use, diagnostics, ARIA monitoring, and operational framework across primary and specialty care</w:t>
            </w:r>
            <w:r w:rsidR="00AD1378">
              <w:t>)</w:t>
            </w:r>
            <w:r>
              <w:t xml:space="preserve"> (40 min)</w:t>
            </w:r>
          </w:p>
          <w:p w:rsidR="00B1230C" w:rsidP="00AD1378" w:rsidRDefault="00B1230C" w14:paraId="707911AF" w14:textId="50755136">
            <w:pPr>
              <w:pStyle w:val="ListParagraph"/>
              <w:numPr>
                <w:ilvl w:val="0"/>
                <w:numId w:val="7"/>
              </w:numPr>
            </w:pPr>
            <w:r>
              <w:t>Closing (5 min)</w:t>
            </w:r>
          </w:p>
          <w:p w:rsidR="00042B6B" w:rsidP="00AD1378" w:rsidRDefault="00AD1378" w14:paraId="70DB4A9C" w14:textId="77777777">
            <w:r>
              <w:t>Deliverables</w:t>
            </w:r>
          </w:p>
          <w:p w:rsidR="002B44F9" w:rsidP="002B44F9" w:rsidRDefault="00B57C67" w14:paraId="5F9F5EAB" w14:textId="1D7CBD11">
            <w:pPr>
              <w:pStyle w:val="ListParagraph"/>
              <w:numPr>
                <w:ilvl w:val="0"/>
                <w:numId w:val="7"/>
              </w:numPr>
            </w:pPr>
            <w:r>
              <w:t>Guidelines to provide framework for appropriate use and management of patients eligible for or requesting APOE genotyping/AMAs in current Washington clinical context</w:t>
            </w:r>
          </w:p>
          <w:p w:rsidR="00AD1378" w:rsidP="00AD1378" w:rsidRDefault="00AD1378" w14:paraId="24EA18F2" w14:textId="6F8158AD">
            <w:r>
              <w:t>Pre-reads</w:t>
            </w:r>
          </w:p>
          <w:p w:rsidR="00A656A6" w:rsidP="00A656A6" w:rsidRDefault="00B9252F" w14:paraId="67E6A721" w14:textId="4AC64B54">
            <w:pPr>
              <w:pStyle w:val="ListParagraph"/>
              <w:numPr>
                <w:ilvl w:val="0"/>
                <w:numId w:val="7"/>
              </w:numPr>
            </w:pPr>
            <w:hyperlink w:history="1" r:id="rId15">
              <w:r w:rsidRPr="00B9252F">
                <w:rPr>
                  <w:rStyle w:val="Hyperlink"/>
                </w:rPr>
                <w:t>Apolipoprotein E Genetic Testing in a New Age of Alzheimer’s Disease Clinical Practice</w:t>
              </w:r>
            </w:hyperlink>
          </w:p>
          <w:p w:rsidR="003A0B1B" w:rsidP="00F1619F" w:rsidRDefault="00234B48" w14:paraId="443506AF" w14:textId="289BF580">
            <w:pPr>
              <w:pStyle w:val="ListParagraph"/>
              <w:numPr>
                <w:ilvl w:val="0"/>
                <w:numId w:val="7"/>
              </w:numPr>
            </w:pPr>
            <w:r>
              <w:t>Appropriate Use Criteri</w:t>
            </w:r>
            <w:r w:rsidR="009E15FB">
              <w:t>a AMAs</w:t>
            </w:r>
          </w:p>
          <w:p w:rsidR="009E15FB" w:rsidP="00A656A6" w:rsidRDefault="009E15FB" w14:paraId="5C4FA2A8" w14:textId="4A30C3AA">
            <w:pPr>
              <w:pStyle w:val="ListParagraph"/>
              <w:numPr>
                <w:ilvl w:val="0"/>
                <w:numId w:val="7"/>
              </w:numPr>
            </w:pPr>
            <w:hyperlink w:history="1" w:anchor="Abs1" r:id="rId16">
              <w:r w:rsidRPr="009E15FB">
                <w:rPr>
                  <w:rStyle w:val="Hyperlink"/>
                </w:rPr>
                <w:t>A Framework for the Administration of Anti-amyloid Monoclonal Antibody Treatments in Early-Stage Alzheimer’s Disease - PMC</w:t>
              </w:r>
            </w:hyperlink>
          </w:p>
          <w:p w:rsidR="00B9252F" w:rsidP="00F1619F" w:rsidRDefault="003A0B1B" w14:paraId="3676D00F" w14:textId="7ABF48CD">
            <w:pPr>
              <w:pStyle w:val="ListParagraph"/>
              <w:numPr>
                <w:ilvl w:val="0"/>
                <w:numId w:val="7"/>
              </w:numPr>
            </w:pPr>
            <w:r>
              <w:t>Others?</w:t>
            </w:r>
          </w:p>
        </w:tc>
      </w:tr>
      <w:tr w:rsidR="00B573B0" w:rsidTr="79A192FB" w14:paraId="57AAE866" w14:textId="77777777">
        <w:tc>
          <w:tcPr>
            <w:tcW w:w="825" w:type="dxa"/>
            <w:tcMar/>
          </w:tcPr>
          <w:p w:rsidR="00B573B0" w:rsidP="00B573B0" w:rsidRDefault="00B573B0" w14:paraId="579953C3" w14:textId="15F28265">
            <w:r>
              <w:lastRenderedPageBreak/>
              <w:t>Jul</w:t>
            </w:r>
          </w:p>
        </w:tc>
        <w:tc>
          <w:tcPr>
            <w:tcW w:w="4120" w:type="dxa"/>
            <w:tcMar/>
          </w:tcPr>
          <w:p w:rsidRPr="006F1D6C" w:rsidR="00B573B0" w:rsidP="00B573B0" w:rsidRDefault="00B573B0" w14:paraId="045D5940" w14:textId="77777777">
            <w:pPr>
              <w:rPr>
                <w:b/>
                <w:bCs/>
              </w:rPr>
            </w:pPr>
            <w:r w:rsidRPr="006F1D6C">
              <w:rPr>
                <w:b/>
                <w:bCs/>
              </w:rPr>
              <w:t>Ongoing Care, Support and Management</w:t>
            </w:r>
          </w:p>
          <w:p w:rsidR="00B573B0" w:rsidP="00B573B0" w:rsidRDefault="00B573B0" w14:paraId="0C35A74C" w14:textId="77777777">
            <w:pPr>
              <w:pStyle w:val="ListParagraph"/>
              <w:numPr>
                <w:ilvl w:val="0"/>
                <w:numId w:val="7"/>
              </w:numPr>
            </w:pPr>
            <w:r>
              <w:t>Review evidence and draft guidelines for:</w:t>
            </w:r>
          </w:p>
          <w:p w:rsidR="00B573B0" w:rsidP="00B573B0" w:rsidRDefault="00B573B0" w14:paraId="52690EDE" w14:textId="77777777">
            <w:pPr>
              <w:pStyle w:val="ListParagraph"/>
              <w:numPr>
                <w:ilvl w:val="1"/>
                <w:numId w:val="7"/>
              </w:numPr>
            </w:pPr>
            <w:r>
              <w:t>Team-based model with caregiver support (GUIDE/BOLD)</w:t>
            </w:r>
          </w:p>
          <w:p w:rsidR="00F163D3" w:rsidP="00F163D3" w:rsidRDefault="003B57CD" w14:paraId="302F3F3A" w14:textId="26A2B72C">
            <w:pPr>
              <w:pStyle w:val="ListParagraph"/>
              <w:numPr>
                <w:ilvl w:val="1"/>
                <w:numId w:val="7"/>
              </w:numPr>
            </w:pPr>
            <w:r>
              <w:t xml:space="preserve">Community </w:t>
            </w:r>
            <w:r w:rsidR="00B76C65">
              <w:t>S</w:t>
            </w:r>
            <w:r>
              <w:t>upports Integration</w:t>
            </w:r>
          </w:p>
        </w:tc>
        <w:tc>
          <w:tcPr>
            <w:tcW w:w="8005" w:type="dxa"/>
            <w:tcMar/>
          </w:tcPr>
          <w:p w:rsidR="00B573B0" w:rsidP="00B573B0" w:rsidRDefault="00B573B0" w14:paraId="68C99DF6" w14:textId="77777777">
            <w:r>
              <w:t>Agenda</w:t>
            </w:r>
          </w:p>
          <w:p w:rsidR="00B57C67" w:rsidP="00B573B0" w:rsidRDefault="00B57C67" w14:paraId="15187F61" w14:textId="008FDDDD">
            <w:pPr>
              <w:pStyle w:val="ListParagraph"/>
              <w:numPr>
                <w:ilvl w:val="0"/>
                <w:numId w:val="7"/>
              </w:numPr>
            </w:pPr>
            <w:r>
              <w:t>Welcome &amp; Framing</w:t>
            </w:r>
            <w:r w:rsidR="00514D9E">
              <w:t xml:space="preserve"> (10 min)</w:t>
            </w:r>
          </w:p>
          <w:p w:rsidR="00B1230C" w:rsidP="00514D9E" w:rsidRDefault="00B1230C" w14:paraId="0F21B69A" w14:textId="4EE947BB">
            <w:pPr>
              <w:pStyle w:val="ListParagraph"/>
              <w:numPr>
                <w:ilvl w:val="0"/>
                <w:numId w:val="7"/>
              </w:numPr>
            </w:pPr>
            <w:r>
              <w:t>Team-based models of care</w:t>
            </w:r>
          </w:p>
          <w:p w:rsidR="00B1230C" w:rsidP="00B1230C" w:rsidRDefault="00B1230C" w14:paraId="54AD3B37" w14:textId="68F17BA6">
            <w:pPr>
              <w:pStyle w:val="ListParagraph"/>
              <w:numPr>
                <w:ilvl w:val="1"/>
                <w:numId w:val="7"/>
              </w:numPr>
            </w:pPr>
            <w:r>
              <w:t>GUIDE model demonstration site presentation (15 min)</w:t>
            </w:r>
          </w:p>
          <w:p w:rsidR="00B1230C" w:rsidP="00B1230C" w:rsidRDefault="00B1230C" w14:paraId="525420FF" w14:textId="09721499">
            <w:pPr>
              <w:pStyle w:val="ListParagraph"/>
              <w:numPr>
                <w:ilvl w:val="0"/>
                <w:numId w:val="7"/>
              </w:numPr>
            </w:pPr>
            <w:r>
              <w:t>Pre-read review (</w:t>
            </w:r>
            <w:r w:rsidR="00B76C65">
              <w:t>25 min)</w:t>
            </w:r>
          </w:p>
          <w:p w:rsidR="00E8132A" w:rsidP="00B1230C" w:rsidRDefault="00B76C65" w14:paraId="3DCE3400" w14:textId="000C588C">
            <w:pPr>
              <w:pStyle w:val="ListParagraph"/>
              <w:numPr>
                <w:ilvl w:val="0"/>
                <w:numId w:val="7"/>
              </w:numPr>
            </w:pPr>
            <w:r>
              <w:t>Team-based models of care and community support integration guidelines (</w:t>
            </w:r>
            <w:r w:rsidR="00F163D3">
              <w:t xml:space="preserve">35 min) </w:t>
            </w:r>
          </w:p>
          <w:p w:rsidR="00F163D3" w:rsidP="00B1230C" w:rsidRDefault="00F163D3" w14:paraId="43ADD01B" w14:textId="7558841D">
            <w:pPr>
              <w:pStyle w:val="ListParagraph"/>
              <w:numPr>
                <w:ilvl w:val="0"/>
                <w:numId w:val="7"/>
              </w:numPr>
            </w:pPr>
            <w:r>
              <w:t>Closing (5 min)</w:t>
            </w:r>
          </w:p>
          <w:p w:rsidR="00B573B0" w:rsidP="00B573B0" w:rsidRDefault="00B573B0" w14:paraId="18585161" w14:textId="77777777">
            <w:r>
              <w:t>Deliverables</w:t>
            </w:r>
          </w:p>
          <w:p w:rsidR="00B573B0" w:rsidP="00B573B0" w:rsidRDefault="00B76C65" w14:paraId="13E6C7E3" w14:textId="6D4BC738">
            <w:pPr>
              <w:pStyle w:val="ListParagraph"/>
              <w:numPr>
                <w:ilvl w:val="0"/>
                <w:numId w:val="7"/>
              </w:numPr>
            </w:pPr>
            <w:r>
              <w:t>Guidelines for system level support of caregivers, linkage to community resources, and evidence-informed care models</w:t>
            </w:r>
          </w:p>
          <w:p w:rsidR="00B573B0" w:rsidP="00B573B0" w:rsidRDefault="00B573B0" w14:paraId="178F0F9B" w14:textId="3A16BCD2">
            <w:r>
              <w:t>Pre-</w:t>
            </w:r>
            <w:r w:rsidR="007648EC">
              <w:t>reads</w:t>
            </w:r>
          </w:p>
          <w:p w:rsidR="007648EC" w:rsidP="00B573B0" w:rsidRDefault="00AA778B" w14:paraId="3D100B10" w14:textId="49708D09">
            <w:pPr>
              <w:pStyle w:val="ListParagraph"/>
              <w:numPr>
                <w:ilvl w:val="0"/>
                <w:numId w:val="7"/>
              </w:numPr>
            </w:pPr>
            <w:hyperlink w:history="1" r:id="rId17">
              <w:r w:rsidRPr="00AA778B">
                <w:rPr>
                  <w:rStyle w:val="Hyperlink"/>
                </w:rPr>
                <w:t>GUIDE Model Overview Fact Sheet</w:t>
              </w:r>
            </w:hyperlink>
          </w:p>
          <w:p w:rsidR="007648EC" w:rsidP="00B573B0" w:rsidRDefault="007648EC" w14:paraId="3370D287" w14:textId="0B1B9AD8">
            <w:pPr>
              <w:pStyle w:val="ListParagraph"/>
              <w:numPr>
                <w:ilvl w:val="0"/>
                <w:numId w:val="7"/>
              </w:numPr>
            </w:pPr>
            <w:hyperlink w:history="1" r:id="rId18">
              <w:r w:rsidRPr="007648EC">
                <w:rPr>
                  <w:rStyle w:val="Hyperlink"/>
                </w:rPr>
                <w:t>Dementia care navigation: A systematic review on different models and their prevalence</w:t>
              </w:r>
            </w:hyperlink>
          </w:p>
          <w:p w:rsidR="00B573B0" w:rsidP="00B573B0" w:rsidRDefault="00132721" w14:paraId="1F995051" w14:textId="1FA7C6B1">
            <w:pPr>
              <w:pStyle w:val="ListParagraph"/>
              <w:numPr>
                <w:ilvl w:val="0"/>
                <w:numId w:val="7"/>
              </w:numPr>
            </w:pPr>
            <w:hyperlink w:history="1" r:id="rId19">
              <w:r w:rsidRPr="00132721">
                <w:rPr>
                  <w:rStyle w:val="Hyperlink"/>
                </w:rPr>
                <w:t>Evidence-based Nonpharmacological Practices to Address Behavioral and Psychological Symptoms of Dementia</w:t>
              </w:r>
            </w:hyperlink>
          </w:p>
        </w:tc>
      </w:tr>
      <w:tr w:rsidR="00CE6969" w:rsidTr="79A192FB" w14:paraId="7EB11D6E" w14:textId="77777777">
        <w:tc>
          <w:tcPr>
            <w:tcW w:w="825" w:type="dxa"/>
            <w:tcMar/>
          </w:tcPr>
          <w:p w:rsidR="00CE6969" w:rsidP="00A9581A" w:rsidRDefault="00CE6969" w14:paraId="7C90C4EB" w14:textId="4C81782B">
            <w:r>
              <w:t>Aug</w:t>
            </w:r>
          </w:p>
        </w:tc>
        <w:tc>
          <w:tcPr>
            <w:tcW w:w="4120" w:type="dxa"/>
            <w:tcMar/>
          </w:tcPr>
          <w:p w:rsidRPr="00E05B1C" w:rsidR="00CE6969" w:rsidP="00E05B1C" w:rsidRDefault="002F014A" w14:paraId="218C2EE2" w14:textId="559D1EFA">
            <w:pPr>
              <w:rPr>
                <w:b/>
                <w:bCs/>
              </w:rPr>
            </w:pPr>
            <w:r w:rsidRPr="00E05B1C">
              <w:rPr>
                <w:b/>
                <w:bCs/>
              </w:rPr>
              <w:t>Minor Updates</w:t>
            </w:r>
          </w:p>
          <w:p w:rsidR="002F014A" w:rsidP="00E05B1C" w:rsidRDefault="002F014A" w14:paraId="3A695564" w14:textId="77777777">
            <w:pPr>
              <w:pStyle w:val="ListParagraph"/>
              <w:numPr>
                <w:ilvl w:val="0"/>
                <w:numId w:val="7"/>
              </w:numPr>
            </w:pPr>
            <w:r>
              <w:t>Advance Care Planning and Palliative Care</w:t>
            </w:r>
          </w:p>
          <w:p w:rsidR="002F014A" w:rsidP="00E05B1C" w:rsidRDefault="002F014A" w14:paraId="0230B392" w14:textId="77777777">
            <w:pPr>
              <w:pStyle w:val="ListParagraph"/>
              <w:numPr>
                <w:ilvl w:val="0"/>
                <w:numId w:val="7"/>
              </w:numPr>
            </w:pPr>
            <w:r>
              <w:t>Higher Levels of Care Needs</w:t>
            </w:r>
          </w:p>
          <w:p w:rsidR="002F014A" w:rsidP="00E05B1C" w:rsidRDefault="002F014A" w14:paraId="415F0A36" w14:textId="77777777">
            <w:pPr>
              <w:pStyle w:val="ListParagraph"/>
              <w:numPr>
                <w:ilvl w:val="0"/>
                <w:numId w:val="7"/>
              </w:numPr>
            </w:pPr>
            <w:r>
              <w:t>Preparing for Hospitalization</w:t>
            </w:r>
          </w:p>
          <w:p w:rsidR="002F014A" w:rsidP="00E05B1C" w:rsidRDefault="002F014A" w14:paraId="58DF5625" w14:textId="13763C84">
            <w:pPr>
              <w:pStyle w:val="ListParagraph"/>
              <w:numPr>
                <w:ilvl w:val="0"/>
                <w:numId w:val="7"/>
              </w:numPr>
            </w:pPr>
            <w:r>
              <w:t>Screening for Delirium</w:t>
            </w:r>
          </w:p>
        </w:tc>
        <w:tc>
          <w:tcPr>
            <w:tcW w:w="8005" w:type="dxa"/>
            <w:tcMar/>
          </w:tcPr>
          <w:p w:rsidR="00CE6969" w:rsidP="00A9581A" w:rsidRDefault="00F163D3" w14:paraId="340317FB" w14:textId="77777777">
            <w:r>
              <w:t>Agenda</w:t>
            </w:r>
          </w:p>
          <w:p w:rsidR="00F163D3" w:rsidP="00F163D3" w:rsidRDefault="00F163D3" w14:paraId="7DF68E39" w14:textId="77777777">
            <w:pPr>
              <w:pStyle w:val="ListParagraph"/>
              <w:numPr>
                <w:ilvl w:val="0"/>
                <w:numId w:val="7"/>
              </w:numPr>
            </w:pPr>
            <w:r>
              <w:t>Welcome &amp; Framing (10 min)</w:t>
            </w:r>
          </w:p>
          <w:p w:rsidR="005C654D" w:rsidP="005C654D" w:rsidRDefault="00393BC1" w14:paraId="76C98C9D" w14:textId="77777777">
            <w:pPr>
              <w:pStyle w:val="ListParagraph"/>
              <w:numPr>
                <w:ilvl w:val="0"/>
                <w:numId w:val="7"/>
              </w:numPr>
            </w:pPr>
            <w:r>
              <w:t>Review</w:t>
            </w:r>
            <w:r w:rsidR="005C654D">
              <w:t xml:space="preserve"> minor updates (75 min)</w:t>
            </w:r>
          </w:p>
          <w:p w:rsidR="005C654D" w:rsidP="005C654D" w:rsidRDefault="005C654D" w14:paraId="6775C068" w14:textId="77777777">
            <w:pPr>
              <w:pStyle w:val="ListParagraph"/>
              <w:numPr>
                <w:ilvl w:val="0"/>
                <w:numId w:val="7"/>
              </w:numPr>
            </w:pPr>
            <w:r>
              <w:t>Closing (5 min)</w:t>
            </w:r>
          </w:p>
          <w:p w:rsidR="005C654D" w:rsidP="005C654D" w:rsidRDefault="005C654D" w14:paraId="72F7107D" w14:textId="77777777">
            <w:r>
              <w:t>Deliverables</w:t>
            </w:r>
          </w:p>
          <w:p w:rsidR="005C654D" w:rsidP="005C654D" w:rsidRDefault="005C654D" w14:paraId="2924D126" w14:textId="77777777">
            <w:pPr>
              <w:pStyle w:val="ListParagraph"/>
              <w:numPr>
                <w:ilvl w:val="0"/>
                <w:numId w:val="7"/>
              </w:numPr>
            </w:pPr>
            <w:r>
              <w:t>Finalized sections for advance care planning and palliative care, higher levels of care needs, preparing for hospitalization, and screening for delirium</w:t>
            </w:r>
          </w:p>
          <w:p w:rsidR="005C654D" w:rsidP="005C654D" w:rsidRDefault="005C654D" w14:paraId="45448B5D" w14:textId="1ABB18AE">
            <w:r>
              <w:t xml:space="preserve">Pre-reads: </w:t>
            </w:r>
          </w:p>
          <w:p w:rsidR="005C654D" w:rsidP="005C654D" w:rsidRDefault="005C654D" w14:paraId="0AF89D24" w14:textId="20529216">
            <w:r>
              <w:t>TBD</w:t>
            </w:r>
          </w:p>
        </w:tc>
      </w:tr>
      <w:tr w:rsidR="00CE6969" w:rsidTr="79A192FB" w14:paraId="6AE982EE" w14:textId="77777777">
        <w:tc>
          <w:tcPr>
            <w:tcW w:w="825" w:type="dxa"/>
            <w:tcMar/>
          </w:tcPr>
          <w:p w:rsidR="00CE6969" w:rsidP="00A9581A" w:rsidRDefault="00CE6969" w14:paraId="74FE8103" w14:textId="0E2450BE">
            <w:r>
              <w:t>Sep</w:t>
            </w:r>
          </w:p>
        </w:tc>
        <w:tc>
          <w:tcPr>
            <w:tcW w:w="4120" w:type="dxa"/>
            <w:tcMar/>
          </w:tcPr>
          <w:p w:rsidRPr="00E05B1C" w:rsidR="00E05B1C" w:rsidP="00E05B1C" w:rsidRDefault="00E05B1C" w14:paraId="52B7B9D4" w14:textId="53105D52">
            <w:pPr>
              <w:rPr>
                <w:b/>
                <w:bCs/>
              </w:rPr>
            </w:pPr>
            <w:r w:rsidRPr="00E05B1C">
              <w:rPr>
                <w:b/>
                <w:bCs/>
              </w:rPr>
              <w:t>First Draft Finalization</w:t>
            </w:r>
          </w:p>
          <w:p w:rsidR="00CE6969" w:rsidP="00BC1F1E" w:rsidRDefault="00BC1F1E" w14:paraId="6407F8E1" w14:textId="5DCE69A5">
            <w:pPr>
              <w:pStyle w:val="ListParagraph"/>
              <w:numPr>
                <w:ilvl w:val="0"/>
                <w:numId w:val="7"/>
              </w:numPr>
            </w:pPr>
            <w:r>
              <w:t>Finalize first draft</w:t>
            </w:r>
            <w:r w:rsidR="00EC41B7">
              <w:t xml:space="preserve"> report and guidelines</w:t>
            </w:r>
          </w:p>
          <w:p w:rsidR="00BC1F1E" w:rsidP="00BC1F1E" w:rsidRDefault="00BC1F1E" w14:paraId="62A8376A" w14:textId="118AC0B3">
            <w:pPr>
              <w:pStyle w:val="ListParagraph"/>
              <w:numPr>
                <w:ilvl w:val="0"/>
                <w:numId w:val="7"/>
              </w:numPr>
            </w:pPr>
            <w:r>
              <w:lastRenderedPageBreak/>
              <w:t>D</w:t>
            </w:r>
            <w:r w:rsidR="00E05B1C">
              <w:t>raft d</w:t>
            </w:r>
            <w:r>
              <w:t xml:space="preserve">issemination </w:t>
            </w:r>
            <w:r w:rsidR="00E05B1C">
              <w:t>p</w:t>
            </w:r>
            <w:r>
              <w:t>lan</w:t>
            </w:r>
          </w:p>
        </w:tc>
        <w:tc>
          <w:tcPr>
            <w:tcW w:w="8005" w:type="dxa"/>
            <w:tcMar/>
          </w:tcPr>
          <w:p w:rsidR="00CE6969" w:rsidP="00A9581A" w:rsidRDefault="005C654D" w14:paraId="5A4EA94D" w14:textId="77777777">
            <w:r>
              <w:lastRenderedPageBreak/>
              <w:t>Agenda</w:t>
            </w:r>
          </w:p>
          <w:p w:rsidR="005C654D" w:rsidP="005C654D" w:rsidRDefault="005C654D" w14:paraId="6D1E7A39" w14:textId="52DE5DAC">
            <w:pPr>
              <w:pStyle w:val="ListParagraph"/>
              <w:numPr>
                <w:ilvl w:val="0"/>
                <w:numId w:val="7"/>
              </w:numPr>
            </w:pPr>
            <w:r>
              <w:t>TBD</w:t>
            </w:r>
          </w:p>
          <w:p w:rsidR="005C654D" w:rsidP="00A9581A" w:rsidRDefault="005C654D" w14:paraId="7DA6CCB9" w14:textId="77777777">
            <w:r>
              <w:t>Deliverables</w:t>
            </w:r>
          </w:p>
          <w:p w:rsidR="005C654D" w:rsidP="005C654D" w:rsidRDefault="005C654D" w14:paraId="3E39A48C" w14:textId="3E2BE723">
            <w:pPr>
              <w:pStyle w:val="ListParagraph"/>
              <w:numPr>
                <w:ilvl w:val="0"/>
                <w:numId w:val="7"/>
              </w:numPr>
            </w:pPr>
            <w:r>
              <w:lastRenderedPageBreak/>
              <w:t>Final first draft of report and guidelines</w:t>
            </w:r>
          </w:p>
          <w:p w:rsidR="006F1D6C" w:rsidP="006F1D6C" w:rsidRDefault="006F1D6C" w14:paraId="419D5970" w14:textId="77777777">
            <w:pPr>
              <w:pStyle w:val="ListParagraph"/>
              <w:numPr>
                <w:ilvl w:val="0"/>
                <w:numId w:val="7"/>
              </w:numPr>
            </w:pPr>
            <w:r>
              <w:t>Draft dissemination plan</w:t>
            </w:r>
          </w:p>
          <w:p w:rsidR="006F1D6C" w:rsidP="006F1D6C" w:rsidRDefault="006F1D6C" w14:paraId="7CE86E6C" w14:textId="77777777">
            <w:r>
              <w:t xml:space="preserve">Prereads: </w:t>
            </w:r>
          </w:p>
          <w:p w:rsidR="006F1D6C" w:rsidP="006F1D6C" w:rsidRDefault="006F1D6C" w14:paraId="6A62C9ED" w14:textId="4D9C8FC0">
            <w:r>
              <w:t>TBD</w:t>
            </w:r>
          </w:p>
        </w:tc>
      </w:tr>
      <w:tr w:rsidR="00CE6969" w:rsidTr="79A192FB" w14:paraId="08C90AB3" w14:textId="77777777">
        <w:tc>
          <w:tcPr>
            <w:tcW w:w="825" w:type="dxa"/>
            <w:tcMar/>
          </w:tcPr>
          <w:p w:rsidR="00CE6969" w:rsidP="00A9581A" w:rsidRDefault="00CE6969" w14:paraId="08290C2B" w14:textId="4B5A3962">
            <w:r>
              <w:lastRenderedPageBreak/>
              <w:t>Oct</w:t>
            </w:r>
          </w:p>
        </w:tc>
        <w:tc>
          <w:tcPr>
            <w:tcW w:w="4120" w:type="dxa"/>
            <w:tcMar/>
          </w:tcPr>
          <w:p w:rsidR="00CE6969" w:rsidP="00E05B1C" w:rsidRDefault="00BC1F1E" w14:paraId="7CEFDAC4" w14:textId="77777777">
            <w:pPr>
              <w:rPr>
                <w:b/>
                <w:bCs/>
              </w:rPr>
            </w:pPr>
            <w:r w:rsidRPr="00E05B1C">
              <w:rPr>
                <w:b/>
                <w:bCs/>
              </w:rPr>
              <w:t>Implementation and Evaluation</w:t>
            </w:r>
          </w:p>
          <w:p w:rsidR="00E05B1C" w:rsidP="00E05B1C" w:rsidRDefault="00E05B1C" w14:paraId="1972E4C2" w14:textId="77777777">
            <w:pPr>
              <w:pStyle w:val="ListParagraph"/>
              <w:numPr>
                <w:ilvl w:val="0"/>
                <w:numId w:val="7"/>
              </w:numPr>
            </w:pPr>
            <w:r>
              <w:t>Review and edit implementation checklists</w:t>
            </w:r>
          </w:p>
          <w:p w:rsidRPr="00E05B1C" w:rsidR="00E05B1C" w:rsidP="00E05B1C" w:rsidRDefault="00E05B1C" w14:paraId="29C48931" w14:textId="5D66D2EE">
            <w:pPr>
              <w:pStyle w:val="ListParagraph"/>
              <w:numPr>
                <w:ilvl w:val="0"/>
                <w:numId w:val="7"/>
              </w:numPr>
            </w:pPr>
            <w:r>
              <w:t>Review and provide feedback on evaluation subcommittee materials</w:t>
            </w:r>
          </w:p>
        </w:tc>
        <w:tc>
          <w:tcPr>
            <w:tcW w:w="8005" w:type="dxa"/>
            <w:tcMar/>
          </w:tcPr>
          <w:p w:rsidR="006F1D6C" w:rsidP="006F1D6C" w:rsidRDefault="006F1D6C" w14:paraId="32C295D5" w14:textId="77777777">
            <w:r>
              <w:t>Agenda</w:t>
            </w:r>
          </w:p>
          <w:p w:rsidR="006F1D6C" w:rsidP="006F1D6C" w:rsidRDefault="006F1D6C" w14:paraId="1C596070" w14:textId="77777777">
            <w:pPr>
              <w:pStyle w:val="ListParagraph"/>
              <w:numPr>
                <w:ilvl w:val="0"/>
                <w:numId w:val="7"/>
              </w:numPr>
            </w:pPr>
            <w:r>
              <w:t>Welcome (5 min)</w:t>
            </w:r>
          </w:p>
          <w:p w:rsidR="006F1D6C" w:rsidP="006F1D6C" w:rsidRDefault="006F1D6C" w14:paraId="6EC3A7EB" w14:textId="77777777">
            <w:pPr>
              <w:pStyle w:val="ListParagraph"/>
              <w:numPr>
                <w:ilvl w:val="0"/>
                <w:numId w:val="7"/>
              </w:numPr>
            </w:pPr>
            <w:r>
              <w:t>Implementation Checklists (40 min)</w:t>
            </w:r>
          </w:p>
          <w:p w:rsidR="006F1D6C" w:rsidP="006F1D6C" w:rsidRDefault="006F1D6C" w14:paraId="6A5A3C30" w14:textId="77777777">
            <w:pPr>
              <w:pStyle w:val="ListParagraph"/>
              <w:numPr>
                <w:ilvl w:val="0"/>
                <w:numId w:val="7"/>
              </w:numPr>
            </w:pPr>
            <w:r>
              <w:t>Evaluation Framework and Theory of Change (40 min)</w:t>
            </w:r>
          </w:p>
          <w:p w:rsidR="006F1D6C" w:rsidP="006F1D6C" w:rsidRDefault="006F1D6C" w14:paraId="3C00F169" w14:textId="77777777">
            <w:pPr>
              <w:pStyle w:val="ListParagraph"/>
              <w:numPr>
                <w:ilvl w:val="0"/>
                <w:numId w:val="7"/>
              </w:numPr>
            </w:pPr>
            <w:r>
              <w:t>Closing (5 min)</w:t>
            </w:r>
          </w:p>
          <w:p w:rsidR="006F1D6C" w:rsidP="006F1D6C" w:rsidRDefault="006F1D6C" w14:paraId="399FF19A" w14:textId="77777777">
            <w:r>
              <w:t>Deliverables</w:t>
            </w:r>
          </w:p>
          <w:p w:rsidR="006F1D6C" w:rsidP="006F1D6C" w:rsidRDefault="006F1D6C" w14:paraId="6DE807BB" w14:textId="77777777">
            <w:pPr>
              <w:pStyle w:val="ListParagraph"/>
              <w:numPr>
                <w:ilvl w:val="0"/>
                <w:numId w:val="7"/>
              </w:numPr>
            </w:pPr>
            <w:r>
              <w:t>Checklists for 3 audiences</w:t>
            </w:r>
          </w:p>
          <w:p w:rsidR="006F1D6C" w:rsidP="006F1D6C" w:rsidRDefault="006F1D6C" w14:paraId="2D4C1267" w14:textId="77777777">
            <w:pPr>
              <w:pStyle w:val="ListParagraph"/>
              <w:numPr>
                <w:ilvl w:val="0"/>
                <w:numId w:val="7"/>
              </w:numPr>
            </w:pPr>
            <w:r>
              <w:t xml:space="preserve">Updated evaluation framework and theory of change </w:t>
            </w:r>
          </w:p>
          <w:p w:rsidR="006F1D6C" w:rsidP="006F1D6C" w:rsidRDefault="006F1D6C" w14:paraId="0E3DA6DB" w14:textId="77777777">
            <w:r>
              <w:t>Pre-reads:</w:t>
            </w:r>
          </w:p>
          <w:p w:rsidR="006F1D6C" w:rsidP="006F1D6C" w:rsidRDefault="006F1D6C" w14:paraId="73CFDFC9" w14:textId="538E5F3B">
            <w:r>
              <w:t>TBD</w:t>
            </w:r>
          </w:p>
        </w:tc>
      </w:tr>
      <w:tr w:rsidR="00CE6969" w:rsidTr="79A192FB" w14:paraId="2A3CD930" w14:textId="77777777">
        <w:tc>
          <w:tcPr>
            <w:tcW w:w="825" w:type="dxa"/>
            <w:tcMar/>
          </w:tcPr>
          <w:p w:rsidR="00CE6969" w:rsidP="00A9581A" w:rsidRDefault="00CE6969" w14:paraId="6450DC2C" w14:textId="6238B994">
            <w:r>
              <w:t>Nov</w:t>
            </w:r>
          </w:p>
        </w:tc>
        <w:tc>
          <w:tcPr>
            <w:tcW w:w="4120" w:type="dxa"/>
            <w:tcMar/>
          </w:tcPr>
          <w:p w:rsidRPr="00E05B1C" w:rsidR="00CE6969" w:rsidP="00E05B1C" w:rsidRDefault="00E05B1C" w14:paraId="0D1B8264" w14:textId="44EB5BB9">
            <w:pPr>
              <w:rPr>
                <w:b/>
                <w:bCs/>
              </w:rPr>
            </w:pPr>
            <w:r w:rsidRPr="00E05B1C">
              <w:rPr>
                <w:b/>
                <w:bCs/>
              </w:rPr>
              <w:t>Public Comment Review and Finalization</w:t>
            </w:r>
          </w:p>
        </w:tc>
        <w:tc>
          <w:tcPr>
            <w:tcW w:w="8005" w:type="dxa"/>
            <w:tcMar/>
          </w:tcPr>
          <w:p w:rsidR="006F1D6C" w:rsidP="006F1D6C" w:rsidRDefault="006F1D6C" w14:paraId="6E9E723B" w14:textId="77777777">
            <w:r>
              <w:t>Agenda</w:t>
            </w:r>
          </w:p>
          <w:p w:rsidR="006F1D6C" w:rsidP="006F1D6C" w:rsidRDefault="006F1D6C" w14:paraId="4F912743" w14:textId="77777777">
            <w:pPr>
              <w:pStyle w:val="ListParagraph"/>
              <w:numPr>
                <w:ilvl w:val="0"/>
                <w:numId w:val="7"/>
              </w:numPr>
            </w:pPr>
            <w:r>
              <w:t>Welcome (5 min)</w:t>
            </w:r>
          </w:p>
          <w:p w:rsidR="006F1D6C" w:rsidP="006F1D6C" w:rsidRDefault="006F1D6C" w14:paraId="0E9C097D" w14:textId="4A0121C6">
            <w:pPr>
              <w:pStyle w:val="ListParagraph"/>
              <w:numPr>
                <w:ilvl w:val="0"/>
                <w:numId w:val="7"/>
              </w:numPr>
            </w:pPr>
            <w:r>
              <w:t>Public Comment Review (TBD)</w:t>
            </w:r>
          </w:p>
          <w:p w:rsidR="006F1D6C" w:rsidP="006F1D6C" w:rsidRDefault="006F1D6C" w14:paraId="1324B337" w14:textId="7A8BFF2F">
            <w:pPr>
              <w:pStyle w:val="ListParagraph"/>
              <w:numPr>
                <w:ilvl w:val="0"/>
                <w:numId w:val="7"/>
              </w:numPr>
            </w:pPr>
            <w:r>
              <w:t>Final edits/finalization (TBD)</w:t>
            </w:r>
          </w:p>
          <w:p w:rsidR="006F1D6C" w:rsidP="006F1D6C" w:rsidRDefault="006F1D6C" w14:paraId="3DBFBC18" w14:textId="0B5A4BB6">
            <w:pPr>
              <w:pStyle w:val="ListParagraph"/>
              <w:numPr>
                <w:ilvl w:val="0"/>
                <w:numId w:val="7"/>
              </w:numPr>
            </w:pPr>
            <w:r>
              <w:t>Final Dissemination plan review (10 min)</w:t>
            </w:r>
          </w:p>
          <w:p w:rsidR="00CE6969" w:rsidP="00A9581A" w:rsidRDefault="006F1D6C" w14:paraId="7365FA36" w14:textId="21660495">
            <w:pPr>
              <w:pStyle w:val="ListParagraph"/>
              <w:numPr>
                <w:ilvl w:val="0"/>
                <w:numId w:val="7"/>
              </w:numPr>
            </w:pPr>
            <w:r>
              <w:t>Closing (5 min)</w:t>
            </w:r>
          </w:p>
        </w:tc>
      </w:tr>
    </w:tbl>
    <w:p w:rsidR="00A9581A" w:rsidP="00A9581A" w:rsidRDefault="00A9581A" w14:paraId="321CCE82" w14:textId="77777777"/>
    <w:p w:rsidR="00454833" w:rsidRDefault="00454833" w14:paraId="319C777D" w14:textId="6EC854B1">
      <w:pPr>
        <w:spacing w:line="278" w:lineRule="auto"/>
      </w:pPr>
      <w:r>
        <w:br w:type="page"/>
      </w:r>
    </w:p>
    <w:p w:rsidR="00BA3C0C" w:rsidP="00BA3C0C" w:rsidRDefault="00BA3C0C" w14:paraId="5D341184" w14:textId="77777777">
      <w:pPr>
        <w:pStyle w:val="Heading2"/>
      </w:pPr>
      <w:r>
        <w:lastRenderedPageBreak/>
        <w:t xml:space="preserve">Evaluation Subcommittee: </w:t>
      </w:r>
    </w:p>
    <w:p w:rsidR="00BA3C0C" w:rsidP="00BA3C0C" w:rsidRDefault="00BA3C0C" w14:paraId="3190DFF4" w14:textId="77777777">
      <w:pPr>
        <w:pStyle w:val="ListParagraph"/>
        <w:numPr>
          <w:ilvl w:val="0"/>
          <w:numId w:val="15"/>
        </w:numPr>
        <w:spacing w:line="278" w:lineRule="auto"/>
      </w:pPr>
      <w:r>
        <w:t>Objectives</w:t>
      </w:r>
    </w:p>
    <w:p w:rsidR="00BA3C0C" w:rsidP="00BA3C0C" w:rsidRDefault="00BA3C0C" w14:paraId="1DEC55CE" w14:textId="77777777">
      <w:pPr>
        <w:pStyle w:val="ListParagraph"/>
        <w:numPr>
          <w:ilvl w:val="1"/>
          <w:numId w:val="15"/>
        </w:numPr>
        <w:spacing w:line="278" w:lineRule="auto"/>
      </w:pPr>
      <w:r>
        <w:t xml:space="preserve">Develop theory of change for the report and guidelines: </w:t>
      </w:r>
      <w:hyperlink r:id="rId20">
        <w:r w:rsidRPr="5EEBD535">
          <w:rPr>
            <w:rStyle w:val="Hyperlink"/>
          </w:rPr>
          <w:t>example</w:t>
        </w:r>
      </w:hyperlink>
    </w:p>
    <w:p w:rsidR="00BA3C0C" w:rsidP="00BA3C0C" w:rsidRDefault="00BA3C0C" w14:paraId="0EA4823A" w14:textId="77777777">
      <w:pPr>
        <w:pStyle w:val="ListParagraph"/>
        <w:numPr>
          <w:ilvl w:val="1"/>
          <w:numId w:val="15"/>
        </w:numPr>
        <w:spacing w:line="278" w:lineRule="auto"/>
        <w:rPr>
          <w:rStyle w:val="Hyperlink"/>
        </w:rPr>
      </w:pPr>
      <w:r>
        <w:t xml:space="preserve">Develop evaluation framework: </w:t>
      </w:r>
      <w:hyperlink r:id="rId21">
        <w:r w:rsidRPr="5EEBD535">
          <w:rPr>
            <w:rStyle w:val="Hyperlink"/>
          </w:rPr>
          <w:t>example</w:t>
        </w:r>
      </w:hyperlink>
    </w:p>
    <w:p w:rsidR="00BA3C0C" w:rsidP="00BA3C0C" w:rsidRDefault="00BA3C0C" w14:paraId="58249BFF" w14:textId="77777777">
      <w:pPr>
        <w:pStyle w:val="ListParagraph"/>
        <w:numPr>
          <w:ilvl w:val="0"/>
          <w:numId w:val="15"/>
        </w:numPr>
        <w:spacing w:line="278" w:lineRule="auto"/>
      </w:pPr>
      <w:r>
        <w:t>Members</w:t>
      </w:r>
    </w:p>
    <w:p w:rsidR="00BA3C0C" w:rsidP="00BA3C0C" w:rsidRDefault="00BA3C0C" w14:paraId="0F8176EE" w14:textId="77777777">
      <w:pPr>
        <w:pStyle w:val="ListParagraph"/>
        <w:numPr>
          <w:ilvl w:val="1"/>
          <w:numId w:val="15"/>
        </w:numPr>
        <w:spacing w:line="278" w:lineRule="auto"/>
      </w:pPr>
      <w:r>
        <w:t>Karie Nicholas</w:t>
      </w:r>
    </w:p>
    <w:p w:rsidR="00BA3C0C" w:rsidP="00BA3C0C" w:rsidRDefault="00BA3C0C" w14:paraId="78030D70" w14:textId="2CCEB9D4">
      <w:pPr>
        <w:pStyle w:val="ListParagraph"/>
        <w:numPr>
          <w:ilvl w:val="1"/>
          <w:numId w:val="15"/>
        </w:numPr>
        <w:spacing w:line="278" w:lineRule="auto"/>
      </w:pPr>
      <w:r>
        <w:t>TBD</w:t>
      </w:r>
    </w:p>
    <w:p w:rsidR="00BA3C0C" w:rsidP="00BA3C0C" w:rsidRDefault="00BA3C0C" w14:paraId="2827789A" w14:textId="77777777">
      <w:pPr>
        <w:pStyle w:val="Heading2"/>
      </w:pPr>
      <w:r>
        <w:t>Deliverables</w:t>
      </w:r>
    </w:p>
    <w:p w:rsidR="00BA3C0C" w:rsidP="00BA3C0C" w:rsidRDefault="00BA3C0C" w14:paraId="0D4A699D" w14:textId="77777777">
      <w:pPr>
        <w:pStyle w:val="ListParagraph"/>
        <w:numPr>
          <w:ilvl w:val="0"/>
          <w:numId w:val="16"/>
        </w:numPr>
        <w:spacing w:line="278" w:lineRule="auto"/>
      </w:pPr>
      <w:r>
        <w:t xml:space="preserve">Final Report and Guidelines </w:t>
      </w:r>
    </w:p>
    <w:p w:rsidR="00BA3C0C" w:rsidP="00BA3C0C" w:rsidRDefault="00BA3C0C" w14:paraId="7AC27251" w14:textId="77777777">
      <w:pPr>
        <w:pStyle w:val="ListParagraph"/>
        <w:numPr>
          <w:ilvl w:val="1"/>
          <w:numId w:val="16"/>
        </w:numPr>
        <w:spacing w:line="278" w:lineRule="auto"/>
      </w:pPr>
      <w:r>
        <w:t>Deadline: 12/31/2026</w:t>
      </w:r>
    </w:p>
    <w:p w:rsidR="00BA3C0C" w:rsidP="00BA3C0C" w:rsidRDefault="00BA3C0C" w14:paraId="10A875CE" w14:textId="77777777">
      <w:pPr>
        <w:pStyle w:val="ListParagraph"/>
        <w:numPr>
          <w:ilvl w:val="1"/>
          <w:numId w:val="16"/>
        </w:numPr>
        <w:spacing w:line="278" w:lineRule="auto"/>
      </w:pPr>
      <w:r>
        <w:t>Required Components</w:t>
      </w:r>
    </w:p>
    <w:p w:rsidR="00BA3C0C" w:rsidP="00BA3C0C" w:rsidRDefault="00BA3C0C" w14:paraId="29BC145D" w14:textId="77777777">
      <w:pPr>
        <w:pStyle w:val="ListParagraph"/>
        <w:numPr>
          <w:ilvl w:val="2"/>
          <w:numId w:val="16"/>
        </w:numPr>
        <w:spacing w:line="278" w:lineRule="auto"/>
      </w:pPr>
      <w:r>
        <w:t>Executive Summary</w:t>
      </w:r>
    </w:p>
    <w:p w:rsidR="00BA3C0C" w:rsidP="00BA3C0C" w:rsidRDefault="00BA3C0C" w14:paraId="2F65F3ED" w14:textId="77777777">
      <w:pPr>
        <w:pStyle w:val="ListParagraph"/>
        <w:numPr>
          <w:ilvl w:val="2"/>
          <w:numId w:val="16"/>
        </w:numPr>
        <w:spacing w:line="278" w:lineRule="auto"/>
      </w:pPr>
      <w:commentRangeStart w:id="10"/>
      <w:r>
        <w:t>Guidelines</w:t>
      </w:r>
      <w:commentRangeEnd w:id="10"/>
      <w:r>
        <w:commentReference w:id="10"/>
      </w:r>
    </w:p>
    <w:p w:rsidR="00BA3C0C" w:rsidP="00BA3C0C" w:rsidRDefault="000D6E5A" w14:paraId="754B9127" w14:textId="07149D78">
      <w:pPr>
        <w:pStyle w:val="ListParagraph"/>
        <w:numPr>
          <w:ilvl w:val="3"/>
          <w:numId w:val="16"/>
        </w:numPr>
        <w:spacing w:line="278" w:lineRule="auto"/>
      </w:pPr>
      <w:r>
        <w:t>Persons with Memory Loss and Family Members</w:t>
      </w:r>
    </w:p>
    <w:p w:rsidR="00BA3C0C" w:rsidP="00BA3C0C" w:rsidRDefault="001E491D" w14:paraId="4D710A53" w14:textId="4769C6C0">
      <w:pPr>
        <w:pStyle w:val="ListParagraph"/>
        <w:numPr>
          <w:ilvl w:val="3"/>
          <w:numId w:val="16"/>
        </w:numPr>
        <w:spacing w:line="278" w:lineRule="auto"/>
      </w:pPr>
      <w:r>
        <w:t xml:space="preserve">Primary Care Practices and </w:t>
      </w:r>
      <w:r w:rsidR="000D6E5A">
        <w:t>Systems (including Primary Care Providers)</w:t>
      </w:r>
    </w:p>
    <w:p w:rsidR="001E491D" w:rsidP="00BA3C0C" w:rsidRDefault="001E491D" w14:paraId="08B67156" w14:textId="6E4EB1B7">
      <w:pPr>
        <w:pStyle w:val="ListParagraph"/>
        <w:numPr>
          <w:ilvl w:val="3"/>
          <w:numId w:val="16"/>
        </w:numPr>
        <w:spacing w:line="278" w:lineRule="auto"/>
      </w:pPr>
      <w:r>
        <w:t>Residential Facilities</w:t>
      </w:r>
    </w:p>
    <w:p w:rsidR="008E47BE" w:rsidP="00BA3C0C" w:rsidRDefault="008E47BE" w14:paraId="15988AB0" w14:textId="17182764">
      <w:pPr>
        <w:pStyle w:val="ListParagraph"/>
        <w:numPr>
          <w:ilvl w:val="3"/>
          <w:numId w:val="16"/>
        </w:numPr>
        <w:spacing w:line="278" w:lineRule="auto"/>
      </w:pPr>
      <w:r>
        <w:t>Hospitals</w:t>
      </w:r>
    </w:p>
    <w:p w:rsidR="00BA3C0C" w:rsidP="00BA3C0C" w:rsidRDefault="00BA3C0C" w14:paraId="04A5FE94" w14:textId="77777777">
      <w:pPr>
        <w:pStyle w:val="ListParagraph"/>
        <w:numPr>
          <w:ilvl w:val="3"/>
          <w:numId w:val="16"/>
        </w:numPr>
        <w:spacing w:line="278" w:lineRule="auto"/>
      </w:pPr>
      <w:r>
        <w:t>Health Plans</w:t>
      </w:r>
    </w:p>
    <w:p w:rsidR="00BA3C0C" w:rsidP="00BA3C0C" w:rsidRDefault="00BA3C0C" w14:paraId="6F2420DF" w14:textId="77777777">
      <w:pPr>
        <w:pStyle w:val="ListParagraph"/>
        <w:numPr>
          <w:ilvl w:val="3"/>
          <w:numId w:val="16"/>
        </w:numPr>
        <w:spacing w:line="278" w:lineRule="auto"/>
      </w:pPr>
      <w:r>
        <w:t>Employers</w:t>
      </w:r>
    </w:p>
    <w:p w:rsidR="00BA3C0C" w:rsidP="00BA3C0C" w:rsidRDefault="00BA3C0C" w14:paraId="580DF230" w14:textId="77777777">
      <w:pPr>
        <w:pStyle w:val="ListParagraph"/>
        <w:numPr>
          <w:ilvl w:val="3"/>
          <w:numId w:val="16"/>
        </w:numPr>
        <w:spacing w:line="278" w:lineRule="auto"/>
      </w:pPr>
      <w:r>
        <w:t>State Agencies</w:t>
      </w:r>
    </w:p>
    <w:p w:rsidR="00BA3C0C" w:rsidP="00BA3C0C" w:rsidRDefault="00BA3C0C" w14:paraId="2A10F9EC" w14:textId="77777777">
      <w:pPr>
        <w:pStyle w:val="ListParagraph"/>
        <w:numPr>
          <w:ilvl w:val="4"/>
          <w:numId w:val="16"/>
        </w:numPr>
        <w:spacing w:line="278" w:lineRule="auto"/>
      </w:pPr>
      <w:r>
        <w:t>HCA</w:t>
      </w:r>
    </w:p>
    <w:p w:rsidRPr="000D6E5A" w:rsidR="00BA3C0C" w:rsidP="00BA3C0C" w:rsidRDefault="00BA3C0C" w14:paraId="6850AE72" w14:textId="77777777">
      <w:pPr>
        <w:pStyle w:val="ListParagraph"/>
        <w:numPr>
          <w:ilvl w:val="4"/>
          <w:numId w:val="16"/>
        </w:numPr>
        <w:spacing w:line="278" w:lineRule="auto"/>
        <w:rPr>
          <w:b/>
          <w:bCs/>
        </w:rPr>
      </w:pPr>
      <w:r w:rsidRPr="000D6E5A">
        <w:rPr>
          <w:b/>
          <w:bCs/>
        </w:rPr>
        <w:t>DOH</w:t>
      </w:r>
    </w:p>
    <w:p w:rsidR="00BA3C0C" w:rsidP="00BA3C0C" w:rsidRDefault="00BA3C0C" w14:paraId="7A4131D6" w14:textId="77777777">
      <w:pPr>
        <w:pStyle w:val="ListParagraph"/>
        <w:numPr>
          <w:ilvl w:val="3"/>
          <w:numId w:val="16"/>
        </w:numPr>
        <w:spacing w:line="278" w:lineRule="auto"/>
      </w:pPr>
      <w:r>
        <w:t>Others as determined by workgroup</w:t>
      </w:r>
    </w:p>
    <w:p w:rsidR="00BA3C0C" w:rsidP="00BA3C0C" w:rsidRDefault="00BA3C0C" w14:paraId="3221EA8F" w14:textId="77777777">
      <w:pPr>
        <w:pStyle w:val="ListParagraph"/>
        <w:numPr>
          <w:ilvl w:val="2"/>
          <w:numId w:val="16"/>
        </w:numPr>
        <w:spacing w:line="278" w:lineRule="auto"/>
      </w:pPr>
      <w:r>
        <w:t>Measurement</w:t>
      </w:r>
    </w:p>
    <w:p w:rsidR="00BA3C0C" w:rsidP="00BA3C0C" w:rsidRDefault="00BA3C0C" w14:paraId="5A3047B0" w14:textId="77777777">
      <w:pPr>
        <w:pStyle w:val="ListParagraph"/>
        <w:numPr>
          <w:ilvl w:val="3"/>
          <w:numId w:val="16"/>
        </w:numPr>
        <w:spacing w:line="278" w:lineRule="auto"/>
      </w:pPr>
      <w:r>
        <w:t>Recommended system-level metrics/measures used in quality monitoring</w:t>
      </w:r>
    </w:p>
    <w:p w:rsidR="00BA3C0C" w:rsidP="00BA3C0C" w:rsidRDefault="00BA3C0C" w14:paraId="093B1FAE" w14:textId="77777777">
      <w:pPr>
        <w:pStyle w:val="ListParagraph"/>
        <w:numPr>
          <w:ilvl w:val="3"/>
          <w:numId w:val="16"/>
        </w:numPr>
        <w:spacing w:line="278" w:lineRule="auto"/>
      </w:pPr>
      <w:r>
        <w:t>Other details as recommended by the eval subcommittee</w:t>
      </w:r>
    </w:p>
    <w:p w:rsidR="00BA3C0C" w:rsidP="00BA3C0C" w:rsidRDefault="00BA3C0C" w14:paraId="3C3B098A" w14:textId="77777777">
      <w:pPr>
        <w:pStyle w:val="ListParagraph"/>
        <w:numPr>
          <w:ilvl w:val="2"/>
          <w:numId w:val="16"/>
        </w:numPr>
        <w:spacing w:line="278" w:lineRule="auto"/>
      </w:pPr>
      <w:r>
        <w:t>Background</w:t>
      </w:r>
    </w:p>
    <w:p w:rsidR="00BA3C0C" w:rsidP="00BA3C0C" w:rsidRDefault="00BA3C0C" w14:paraId="3FE9B6DE" w14:textId="3CFDC278">
      <w:pPr>
        <w:pStyle w:val="ListParagraph"/>
        <w:numPr>
          <w:ilvl w:val="3"/>
          <w:numId w:val="16"/>
        </w:numPr>
        <w:spacing w:line="278" w:lineRule="auto"/>
      </w:pPr>
      <w:r>
        <w:lastRenderedPageBreak/>
        <w:t xml:space="preserve">Epidemiological data regarding </w:t>
      </w:r>
      <w:r w:rsidR="002B1202">
        <w:t>alzheimers disease and other dementias</w:t>
      </w:r>
      <w:r>
        <w:t xml:space="preserve"> in WA state</w:t>
      </w:r>
    </w:p>
    <w:p w:rsidR="00BA3C0C" w:rsidP="00BA3C0C" w:rsidRDefault="00BA3C0C" w14:paraId="04194449" w14:textId="77777777">
      <w:pPr>
        <w:pStyle w:val="ListParagraph"/>
        <w:numPr>
          <w:ilvl w:val="3"/>
          <w:numId w:val="16"/>
        </w:numPr>
        <w:spacing w:line="278" w:lineRule="auto"/>
      </w:pPr>
      <w:r>
        <w:t>Supportive text or evidence review for guidelines</w:t>
      </w:r>
    </w:p>
    <w:p w:rsidR="00BA3C0C" w:rsidP="00BA3C0C" w:rsidRDefault="00BA3C0C" w14:paraId="585D4BA2" w14:textId="77777777">
      <w:pPr>
        <w:pStyle w:val="ListParagraph"/>
        <w:numPr>
          <w:ilvl w:val="2"/>
          <w:numId w:val="16"/>
        </w:numPr>
        <w:spacing w:line="278" w:lineRule="auto"/>
      </w:pPr>
      <w:r>
        <w:t xml:space="preserve">Evidence Review </w:t>
      </w:r>
    </w:p>
    <w:p w:rsidR="00BA3C0C" w:rsidP="00BA3C0C" w:rsidRDefault="00BA3C0C" w14:paraId="0E2B58A7" w14:textId="3A0A3D61">
      <w:pPr>
        <w:pStyle w:val="ListParagraph"/>
        <w:numPr>
          <w:ilvl w:val="3"/>
          <w:numId w:val="16"/>
        </w:numPr>
        <w:spacing w:line="278" w:lineRule="auto"/>
      </w:pPr>
      <w:r>
        <w:t>List of systematic reviews and national guidelines reviewed by the workgrou</w:t>
      </w:r>
      <w:r w:rsidR="009E7907">
        <w:t>p</w:t>
      </w:r>
    </w:p>
    <w:p w:rsidR="00BA3C0C" w:rsidP="00BA3C0C" w:rsidRDefault="00BA3C0C" w14:paraId="2FF4A721" w14:textId="77777777">
      <w:pPr>
        <w:pStyle w:val="ListParagraph"/>
        <w:numPr>
          <w:ilvl w:val="2"/>
          <w:numId w:val="16"/>
        </w:numPr>
        <w:spacing w:line="278" w:lineRule="auto"/>
      </w:pPr>
      <w:r>
        <w:t xml:space="preserve">Appendices </w:t>
      </w:r>
    </w:p>
    <w:p w:rsidR="00BA3C0C" w:rsidP="00BA3C0C" w:rsidRDefault="00BA3C0C" w14:paraId="57BC7A1F" w14:textId="77777777">
      <w:pPr>
        <w:pStyle w:val="ListParagraph"/>
        <w:numPr>
          <w:ilvl w:val="3"/>
          <w:numId w:val="16"/>
        </w:numPr>
        <w:spacing w:line="278" w:lineRule="auto"/>
      </w:pPr>
      <w:r>
        <w:t>Workgroup Charter</w:t>
      </w:r>
    </w:p>
    <w:p w:rsidR="00BA3C0C" w:rsidP="00BA3C0C" w:rsidRDefault="00BA3C0C" w14:paraId="74A5EEFF" w14:textId="77777777">
      <w:pPr>
        <w:pStyle w:val="ListParagraph"/>
        <w:numPr>
          <w:ilvl w:val="3"/>
          <w:numId w:val="16"/>
        </w:numPr>
        <w:spacing w:line="278" w:lineRule="auto"/>
      </w:pPr>
      <w:r>
        <w:t>Bree Collaborative members</w:t>
      </w:r>
    </w:p>
    <w:p w:rsidR="00BA3C0C" w:rsidP="00BA3C0C" w:rsidRDefault="00BA3C0C" w14:paraId="1CCE9085" w14:textId="77777777">
      <w:pPr>
        <w:pStyle w:val="ListParagraph"/>
        <w:numPr>
          <w:ilvl w:val="3"/>
          <w:numId w:val="16"/>
        </w:numPr>
        <w:spacing w:line="278" w:lineRule="auto"/>
      </w:pPr>
      <w:r>
        <w:t>Others as relevant to the guidelines</w:t>
      </w:r>
    </w:p>
    <w:p w:rsidR="00BA3C0C" w:rsidP="00BA3C0C" w:rsidRDefault="00BA3C0C" w14:paraId="3B8AF6BD" w14:textId="77777777">
      <w:pPr>
        <w:pStyle w:val="ListParagraph"/>
        <w:numPr>
          <w:ilvl w:val="0"/>
          <w:numId w:val="16"/>
        </w:numPr>
        <w:spacing w:line="278" w:lineRule="auto"/>
      </w:pPr>
      <w:r>
        <w:t>Implementation Checklists (3 end users)</w:t>
      </w:r>
    </w:p>
    <w:p w:rsidR="00BA3C0C" w:rsidP="00BA3C0C" w:rsidRDefault="00BA3C0C" w14:paraId="5D2881E2" w14:textId="77777777">
      <w:pPr>
        <w:pStyle w:val="ListParagraph"/>
        <w:numPr>
          <w:ilvl w:val="1"/>
          <w:numId w:val="16"/>
        </w:numPr>
        <w:spacing w:line="278" w:lineRule="auto"/>
      </w:pPr>
      <w:r>
        <w:t>Deadline: 12/31/2026</w:t>
      </w:r>
    </w:p>
    <w:p w:rsidR="00BA3C0C" w:rsidP="00BA3C0C" w:rsidRDefault="00BA3C0C" w14:paraId="760B910B" w14:textId="77777777">
      <w:pPr>
        <w:pStyle w:val="ListParagraph"/>
        <w:numPr>
          <w:ilvl w:val="1"/>
          <w:numId w:val="16"/>
        </w:numPr>
        <w:spacing w:line="278" w:lineRule="auto"/>
      </w:pPr>
      <w:r>
        <w:t>Each checklist tool with have breakdown of all guidelines under specific stakeholders into level of difficulty to implement (1, 2, 3)</w:t>
      </w:r>
    </w:p>
    <w:p w:rsidR="00BA3C0C" w:rsidP="00BA3C0C" w:rsidRDefault="00BA3C0C" w14:paraId="34C839F3" w14:textId="77777777">
      <w:pPr>
        <w:pStyle w:val="ListParagraph"/>
        <w:numPr>
          <w:ilvl w:val="0"/>
          <w:numId w:val="16"/>
        </w:numPr>
        <w:spacing w:line="278" w:lineRule="auto"/>
      </w:pPr>
      <w:r>
        <w:t>Evaluation Framework</w:t>
      </w:r>
    </w:p>
    <w:p w:rsidR="00BA3C0C" w:rsidP="00BA3C0C" w:rsidRDefault="00BA3C0C" w14:paraId="0063E8F0" w14:textId="77777777">
      <w:pPr>
        <w:pStyle w:val="ListParagraph"/>
        <w:numPr>
          <w:ilvl w:val="1"/>
          <w:numId w:val="16"/>
        </w:numPr>
        <w:spacing w:line="278" w:lineRule="auto"/>
      </w:pPr>
      <w:r>
        <w:t>Deadline: 2/28/2027</w:t>
      </w:r>
    </w:p>
    <w:p w:rsidR="00BA3C0C" w:rsidP="00BA3C0C" w:rsidRDefault="00BA3C0C" w14:paraId="13EBE182" w14:textId="77777777">
      <w:pPr>
        <w:pStyle w:val="ListParagraph"/>
        <w:numPr>
          <w:ilvl w:val="0"/>
          <w:numId w:val="16"/>
        </w:numPr>
        <w:spacing w:line="278" w:lineRule="auto"/>
      </w:pPr>
      <w:r>
        <w:t>Theory of Change</w:t>
      </w:r>
    </w:p>
    <w:p w:rsidRPr="00E12984" w:rsidR="00BA3C0C" w:rsidP="00BA3C0C" w:rsidRDefault="00BA3C0C" w14:paraId="5B36F30C" w14:textId="77777777">
      <w:pPr>
        <w:pStyle w:val="ListParagraph"/>
        <w:numPr>
          <w:ilvl w:val="1"/>
          <w:numId w:val="16"/>
        </w:numPr>
        <w:spacing w:line="278" w:lineRule="auto"/>
      </w:pPr>
      <w:r>
        <w:t>Deadline: 12/31/2026</w:t>
      </w:r>
    </w:p>
    <w:p w:rsidR="00BE7E4D" w:rsidRDefault="00BE7E4D" w14:paraId="61A14A6B" w14:textId="77777777"/>
    <w:sectPr w:rsidR="00BE7E4D" w:rsidSect="0079022F">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B" w:author="Beth Bojkov" w:date="2026-02-24T14:27:00Z" w:id="0">
    <w:p w:rsidR="00853399" w:rsidP="00853399" w:rsidRDefault="00853399" w14:paraId="2A4071FA" w14:textId="77777777">
      <w:pPr>
        <w:pStyle w:val="CommentText"/>
        <w:numPr>
          <w:ilvl w:val="0"/>
          <w:numId w:val="8"/>
        </w:numPr>
      </w:pPr>
      <w:r>
        <w:rPr>
          <w:rStyle w:val="CommentReference"/>
        </w:rPr>
        <w:annotationRef/>
      </w:r>
      <w:r>
        <w:t>Integration of modifiable risk factors for dementia in chronic disease prevention and care.</w:t>
      </w:r>
    </w:p>
    <w:p w:rsidR="00853399" w:rsidP="00853399" w:rsidRDefault="00853399" w14:paraId="0561556C" w14:textId="77777777">
      <w:pPr>
        <w:pStyle w:val="CommentText"/>
        <w:numPr>
          <w:ilvl w:val="1"/>
          <w:numId w:val="8"/>
        </w:numPr>
      </w:pPr>
      <w:r>
        <w:t xml:space="preserve">Aggressive treatment of hypertension, diabetes, and hyperlipidemia in midlife and beyond. </w:t>
      </w:r>
    </w:p>
    <w:p w:rsidR="00853399" w:rsidP="00853399" w:rsidRDefault="00853399" w14:paraId="0216D34D" w14:textId="77777777">
      <w:pPr>
        <w:pStyle w:val="CommentText"/>
        <w:numPr>
          <w:ilvl w:val="1"/>
          <w:numId w:val="8"/>
        </w:numPr>
      </w:pPr>
      <w:r>
        <w:t>Routine screening and referral for hearing loss and visual impairment; Routine screening and treatment for depression and anxiety</w:t>
      </w:r>
    </w:p>
    <w:p w:rsidR="00853399" w:rsidP="00853399" w:rsidRDefault="00853399" w14:paraId="40B4D3E4" w14:textId="77777777">
      <w:pPr>
        <w:pStyle w:val="CommentText"/>
        <w:numPr>
          <w:ilvl w:val="1"/>
          <w:numId w:val="8"/>
        </w:numPr>
      </w:pPr>
      <w:r>
        <w:t>Universal? referral to community programs (physical activity, nutrition, community building)</w:t>
      </w:r>
    </w:p>
    <w:p w:rsidR="00853399" w:rsidP="00853399" w:rsidRDefault="00853399" w14:paraId="74319E08" w14:textId="77777777">
      <w:pPr>
        <w:pStyle w:val="CommentText"/>
        <w:numPr>
          <w:ilvl w:val="0"/>
          <w:numId w:val="8"/>
        </w:numPr>
      </w:pPr>
      <w:r>
        <w:t>Community level prevention</w:t>
      </w:r>
    </w:p>
    <w:p w:rsidR="00853399" w:rsidP="00853399" w:rsidRDefault="00853399" w14:paraId="2E887F56" w14:textId="77777777">
      <w:pPr>
        <w:pStyle w:val="CommentText"/>
        <w:numPr>
          <w:ilvl w:val="1"/>
          <w:numId w:val="8"/>
        </w:numPr>
      </w:pPr>
      <w:r>
        <w:t>Air pollution</w:t>
      </w:r>
    </w:p>
    <w:p w:rsidR="00853399" w:rsidP="00853399" w:rsidRDefault="00853399" w14:paraId="4589C568" w14:textId="77777777">
      <w:pPr>
        <w:pStyle w:val="CommentText"/>
        <w:numPr>
          <w:ilvl w:val="1"/>
          <w:numId w:val="8"/>
        </w:numPr>
      </w:pPr>
      <w:r>
        <w:t>Traumatic brain injury</w:t>
      </w:r>
    </w:p>
    <w:p w:rsidR="00853399" w:rsidP="00853399" w:rsidRDefault="00853399" w14:paraId="3B704009" w14:textId="77777777">
      <w:pPr>
        <w:pStyle w:val="CommentText"/>
      </w:pPr>
      <w:r>
        <w:t>Educational attainment</w:t>
      </w:r>
    </w:p>
  </w:comment>
  <w:comment w:initials="BB" w:author="Beth Bojkov" w:date="2026-02-24T14:27:00Z" w:id="2">
    <w:p w:rsidR="00853399" w:rsidP="00853399" w:rsidRDefault="00853399" w14:paraId="6185F92D" w14:textId="77777777">
      <w:pPr>
        <w:pStyle w:val="CommentText"/>
        <w:numPr>
          <w:ilvl w:val="0"/>
          <w:numId w:val="9"/>
        </w:numPr>
      </w:pPr>
      <w:r>
        <w:rPr>
          <w:rStyle w:val="CommentReference"/>
        </w:rPr>
        <w:annotationRef/>
      </w:r>
      <w:r>
        <w:t>Screening &amp; case detection</w:t>
      </w:r>
    </w:p>
    <w:p w:rsidR="00853399" w:rsidP="00853399" w:rsidRDefault="00853399" w14:paraId="5614C108" w14:textId="77777777">
      <w:pPr>
        <w:pStyle w:val="CommentText"/>
      </w:pPr>
      <w:r>
        <w:t>Blood based biomarkers use case and</w:t>
      </w:r>
      <w:r>
        <w:rPr>
          <w:b/>
          <w:bCs/>
        </w:rPr>
        <w:t xml:space="preserve"> framework</w:t>
      </w:r>
    </w:p>
  </w:comment>
  <w:comment w:initials="BB" w:author="Beth Bojkov" w:date="2026-02-24T14:28:00Z" w:id="4">
    <w:p w:rsidR="00853399" w:rsidP="00853399" w:rsidRDefault="00853399" w14:paraId="41C65148" w14:textId="77777777">
      <w:pPr>
        <w:pStyle w:val="CommentText"/>
        <w:numPr>
          <w:ilvl w:val="0"/>
          <w:numId w:val="10"/>
        </w:numPr>
      </w:pPr>
      <w:r>
        <w:rPr>
          <w:rStyle w:val="CommentReference"/>
        </w:rPr>
        <w:annotationRef/>
      </w:r>
      <w:r>
        <w:t>Integration of Community Supports (specify timepoints?)</w:t>
      </w:r>
    </w:p>
    <w:p w:rsidR="00853399" w:rsidP="00853399" w:rsidRDefault="00853399" w14:paraId="70291B8F" w14:textId="77777777">
      <w:pPr>
        <w:pStyle w:val="CommentText"/>
        <w:numPr>
          <w:ilvl w:val="0"/>
          <w:numId w:val="10"/>
        </w:numPr>
        <w:ind w:left="720"/>
      </w:pPr>
      <w:r>
        <w:t xml:space="preserve">APOE genotyping &amp; Anti-Amyloid monoclonal antibodies </w:t>
      </w:r>
      <w:r>
        <w:rPr>
          <w:b/>
          <w:bCs/>
        </w:rPr>
        <w:t>framework</w:t>
      </w:r>
      <w:r>
        <w:t xml:space="preserve"> for primary care &amp; specialty care</w:t>
      </w:r>
    </w:p>
    <w:p w:rsidR="00853399" w:rsidP="00853399" w:rsidRDefault="00853399" w14:paraId="74132612" w14:textId="77777777">
      <w:pPr>
        <w:pStyle w:val="CommentText"/>
        <w:numPr>
          <w:ilvl w:val="0"/>
          <w:numId w:val="10"/>
        </w:numPr>
      </w:pPr>
      <w:r>
        <w:t>Team-based care model with caregiver support (e.g., GUIDE model, BOLD model)</w:t>
      </w:r>
    </w:p>
    <w:p w:rsidR="00853399" w:rsidP="00853399" w:rsidRDefault="00853399" w14:paraId="260A4E09" w14:textId="77777777">
      <w:pPr>
        <w:pStyle w:val="CommentText"/>
        <w:numPr>
          <w:ilvl w:val="0"/>
          <w:numId w:val="10"/>
        </w:numPr>
      </w:pPr>
      <w:r>
        <w:t xml:space="preserve">Rehabilitation </w:t>
      </w:r>
    </w:p>
  </w:comment>
  <w:comment w:initials="BB" w:author="Beth Bojkov" w:date="2026-02-24T13:37:00Z" w:id="9">
    <w:p w:rsidR="00C94F3E" w:rsidP="00C94F3E" w:rsidRDefault="00C94F3E" w14:paraId="4FE779A3" w14:textId="6379D51D">
      <w:pPr>
        <w:pStyle w:val="CommentText"/>
      </w:pPr>
      <w:r>
        <w:rPr>
          <w:rStyle w:val="CommentReference"/>
        </w:rPr>
        <w:annotationRef/>
      </w:r>
      <w:r>
        <w:t>Dr. Furlong as well?</w:t>
      </w:r>
    </w:p>
  </w:comment>
  <w:comment w:initials="BB" w:author="Beth Bojkov" w:date="2026-02-19T13:49:00Z" w:id="10">
    <w:p w:rsidR="00BA3C0C" w:rsidP="00BA3C0C" w:rsidRDefault="00BA3C0C" w14:paraId="6616EBC1" w14:textId="77777777">
      <w:r>
        <w:annotationRef/>
      </w:r>
      <w:r w:rsidRPr="2C4F3212">
        <w:t xml:space="preserve">minimum, intermediate, advanced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704009" w15:done="0"/>
  <w15:commentEx w15:paraId="5614C108" w15:done="0"/>
  <w15:commentEx w15:paraId="260A4E09" w15:done="0"/>
  <w15:commentEx w15:paraId="4FE779A3" w15:done="0"/>
  <w15:commentEx w15:paraId="6616EB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652585" w16cex:dateUtc="2026-02-24T22:27:00Z"/>
  <w16cex:commentExtensible w16cex:durableId="05A1F435" w16cex:dateUtc="2026-02-24T22:27:00Z"/>
  <w16cex:commentExtensible w16cex:durableId="682BD8EE" w16cex:dateUtc="2026-02-24T22:28:00Z"/>
  <w16cex:commentExtensible w16cex:durableId="436D104F" w16cex:dateUtc="2026-02-24T21:37:00Z"/>
  <w16cex:commentExtensible w16cex:durableId="2B6D31E1" w16cex:dateUtc="2026-02-19T2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704009" w16cid:durableId="35652585"/>
  <w16cid:commentId w16cid:paraId="5614C108" w16cid:durableId="05A1F435"/>
  <w16cid:commentId w16cid:paraId="260A4E09" w16cid:durableId="682BD8EE"/>
  <w16cid:commentId w16cid:paraId="4FE779A3" w16cid:durableId="436D104F"/>
  <w16cid:commentId w16cid:paraId="6616EBC1" w16cid:durableId="2B6D31E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69EC"/>
    <w:multiLevelType w:val="hybridMultilevel"/>
    <w:tmpl w:val="56A463A2"/>
    <w:lvl w:ilvl="0" w:tplc="9D52F974">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E1F006B"/>
    <w:multiLevelType w:val="hybridMultilevel"/>
    <w:tmpl w:val="4E1E2E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CA8206F"/>
    <w:multiLevelType w:val="hybridMultilevel"/>
    <w:tmpl w:val="8FBCA562"/>
    <w:lvl w:ilvl="0" w:tplc="2BD05302">
      <w:start w:val="1"/>
      <w:numFmt w:val="bullet"/>
      <w:lvlText w:val=""/>
      <w:lvlJc w:val="left"/>
      <w:pPr>
        <w:ind w:left="1440" w:hanging="360"/>
      </w:pPr>
      <w:rPr>
        <w:rFonts w:ascii="Symbol" w:hAnsi="Symbol"/>
      </w:rPr>
    </w:lvl>
    <w:lvl w:ilvl="1" w:tplc="40964632">
      <w:start w:val="1"/>
      <w:numFmt w:val="bullet"/>
      <w:lvlText w:val=""/>
      <w:lvlJc w:val="left"/>
      <w:pPr>
        <w:ind w:left="2160" w:hanging="360"/>
      </w:pPr>
      <w:rPr>
        <w:rFonts w:ascii="Symbol" w:hAnsi="Symbol"/>
      </w:rPr>
    </w:lvl>
    <w:lvl w:ilvl="2" w:tplc="B704AFDA">
      <w:start w:val="1"/>
      <w:numFmt w:val="bullet"/>
      <w:lvlText w:val=""/>
      <w:lvlJc w:val="left"/>
      <w:pPr>
        <w:ind w:left="1440" w:hanging="360"/>
      </w:pPr>
      <w:rPr>
        <w:rFonts w:ascii="Symbol" w:hAnsi="Symbol"/>
      </w:rPr>
    </w:lvl>
    <w:lvl w:ilvl="3" w:tplc="B6C078CC">
      <w:start w:val="1"/>
      <w:numFmt w:val="bullet"/>
      <w:lvlText w:val=""/>
      <w:lvlJc w:val="left"/>
      <w:pPr>
        <w:ind w:left="1440" w:hanging="360"/>
      </w:pPr>
      <w:rPr>
        <w:rFonts w:ascii="Symbol" w:hAnsi="Symbol"/>
      </w:rPr>
    </w:lvl>
    <w:lvl w:ilvl="4" w:tplc="92E83098">
      <w:start w:val="1"/>
      <w:numFmt w:val="bullet"/>
      <w:lvlText w:val=""/>
      <w:lvlJc w:val="left"/>
      <w:pPr>
        <w:ind w:left="1440" w:hanging="360"/>
      </w:pPr>
      <w:rPr>
        <w:rFonts w:ascii="Symbol" w:hAnsi="Symbol"/>
      </w:rPr>
    </w:lvl>
    <w:lvl w:ilvl="5" w:tplc="B12EDF02">
      <w:start w:val="1"/>
      <w:numFmt w:val="bullet"/>
      <w:lvlText w:val=""/>
      <w:lvlJc w:val="left"/>
      <w:pPr>
        <w:ind w:left="1440" w:hanging="360"/>
      </w:pPr>
      <w:rPr>
        <w:rFonts w:ascii="Symbol" w:hAnsi="Symbol"/>
      </w:rPr>
    </w:lvl>
    <w:lvl w:ilvl="6" w:tplc="CDA497F8">
      <w:start w:val="1"/>
      <w:numFmt w:val="bullet"/>
      <w:lvlText w:val=""/>
      <w:lvlJc w:val="left"/>
      <w:pPr>
        <w:ind w:left="1440" w:hanging="360"/>
      </w:pPr>
      <w:rPr>
        <w:rFonts w:ascii="Symbol" w:hAnsi="Symbol"/>
      </w:rPr>
    </w:lvl>
    <w:lvl w:ilvl="7" w:tplc="8F3C8934">
      <w:start w:val="1"/>
      <w:numFmt w:val="bullet"/>
      <w:lvlText w:val=""/>
      <w:lvlJc w:val="left"/>
      <w:pPr>
        <w:ind w:left="1440" w:hanging="360"/>
      </w:pPr>
      <w:rPr>
        <w:rFonts w:ascii="Symbol" w:hAnsi="Symbol"/>
      </w:rPr>
    </w:lvl>
    <w:lvl w:ilvl="8" w:tplc="FF20FB4C">
      <w:start w:val="1"/>
      <w:numFmt w:val="bullet"/>
      <w:lvlText w:val=""/>
      <w:lvlJc w:val="left"/>
      <w:pPr>
        <w:ind w:left="1440" w:hanging="360"/>
      </w:pPr>
      <w:rPr>
        <w:rFonts w:ascii="Symbol" w:hAnsi="Symbol"/>
      </w:rPr>
    </w:lvl>
  </w:abstractNum>
  <w:abstractNum w:abstractNumId="3" w15:restartNumberingAfterBreak="0">
    <w:nsid w:val="21C121EA"/>
    <w:multiLevelType w:val="hybridMultilevel"/>
    <w:tmpl w:val="6956AA84"/>
    <w:lvl w:ilvl="0" w:tplc="3E5A7D1E">
      <w:start w:val="1"/>
      <w:numFmt w:val="bullet"/>
      <w:lvlText w:val=""/>
      <w:lvlJc w:val="left"/>
      <w:pPr>
        <w:ind w:left="1440" w:hanging="360"/>
      </w:pPr>
      <w:rPr>
        <w:rFonts w:ascii="Symbol" w:hAnsi="Symbol"/>
      </w:rPr>
    </w:lvl>
    <w:lvl w:ilvl="1" w:tplc="452C2454">
      <w:start w:val="1"/>
      <w:numFmt w:val="bullet"/>
      <w:lvlText w:val=""/>
      <w:lvlJc w:val="left"/>
      <w:pPr>
        <w:ind w:left="1440" w:hanging="360"/>
      </w:pPr>
      <w:rPr>
        <w:rFonts w:ascii="Symbol" w:hAnsi="Symbol"/>
      </w:rPr>
    </w:lvl>
    <w:lvl w:ilvl="2" w:tplc="0A04B948">
      <w:start w:val="1"/>
      <w:numFmt w:val="bullet"/>
      <w:lvlText w:val=""/>
      <w:lvlJc w:val="left"/>
      <w:pPr>
        <w:ind w:left="1440" w:hanging="360"/>
      </w:pPr>
      <w:rPr>
        <w:rFonts w:ascii="Symbol" w:hAnsi="Symbol"/>
      </w:rPr>
    </w:lvl>
    <w:lvl w:ilvl="3" w:tplc="9AE85CA0">
      <w:start w:val="1"/>
      <w:numFmt w:val="bullet"/>
      <w:lvlText w:val=""/>
      <w:lvlJc w:val="left"/>
      <w:pPr>
        <w:ind w:left="1440" w:hanging="360"/>
      </w:pPr>
      <w:rPr>
        <w:rFonts w:ascii="Symbol" w:hAnsi="Symbol"/>
      </w:rPr>
    </w:lvl>
    <w:lvl w:ilvl="4" w:tplc="FF04D3A8">
      <w:start w:val="1"/>
      <w:numFmt w:val="bullet"/>
      <w:lvlText w:val=""/>
      <w:lvlJc w:val="left"/>
      <w:pPr>
        <w:ind w:left="1440" w:hanging="360"/>
      </w:pPr>
      <w:rPr>
        <w:rFonts w:ascii="Symbol" w:hAnsi="Symbol"/>
      </w:rPr>
    </w:lvl>
    <w:lvl w:ilvl="5" w:tplc="5DF4F5E6">
      <w:start w:val="1"/>
      <w:numFmt w:val="bullet"/>
      <w:lvlText w:val=""/>
      <w:lvlJc w:val="left"/>
      <w:pPr>
        <w:ind w:left="1440" w:hanging="360"/>
      </w:pPr>
      <w:rPr>
        <w:rFonts w:ascii="Symbol" w:hAnsi="Symbol"/>
      </w:rPr>
    </w:lvl>
    <w:lvl w:ilvl="6" w:tplc="2A3E034A">
      <w:start w:val="1"/>
      <w:numFmt w:val="bullet"/>
      <w:lvlText w:val=""/>
      <w:lvlJc w:val="left"/>
      <w:pPr>
        <w:ind w:left="1440" w:hanging="360"/>
      </w:pPr>
      <w:rPr>
        <w:rFonts w:ascii="Symbol" w:hAnsi="Symbol"/>
      </w:rPr>
    </w:lvl>
    <w:lvl w:ilvl="7" w:tplc="A8262AB0">
      <w:start w:val="1"/>
      <w:numFmt w:val="bullet"/>
      <w:lvlText w:val=""/>
      <w:lvlJc w:val="left"/>
      <w:pPr>
        <w:ind w:left="1440" w:hanging="360"/>
      </w:pPr>
      <w:rPr>
        <w:rFonts w:ascii="Symbol" w:hAnsi="Symbol"/>
      </w:rPr>
    </w:lvl>
    <w:lvl w:ilvl="8" w:tplc="F3603880">
      <w:start w:val="1"/>
      <w:numFmt w:val="bullet"/>
      <w:lvlText w:val=""/>
      <w:lvlJc w:val="left"/>
      <w:pPr>
        <w:ind w:left="1440" w:hanging="360"/>
      </w:pPr>
      <w:rPr>
        <w:rFonts w:ascii="Symbol" w:hAnsi="Symbol"/>
      </w:rPr>
    </w:lvl>
  </w:abstractNum>
  <w:abstractNum w:abstractNumId="4" w15:restartNumberingAfterBreak="0">
    <w:nsid w:val="2E9B2C7A"/>
    <w:multiLevelType w:val="hybridMultilevel"/>
    <w:tmpl w:val="08D8A94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0224953"/>
    <w:multiLevelType w:val="hybridMultilevel"/>
    <w:tmpl w:val="97D66C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3271289"/>
    <w:multiLevelType w:val="hybridMultilevel"/>
    <w:tmpl w:val="65A875B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39CB52C5"/>
    <w:multiLevelType w:val="hybridMultilevel"/>
    <w:tmpl w:val="4E4634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B5612C4"/>
    <w:multiLevelType w:val="hybridMultilevel"/>
    <w:tmpl w:val="2DC652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9D37A1F"/>
    <w:multiLevelType w:val="hybridMultilevel"/>
    <w:tmpl w:val="741831AA"/>
    <w:lvl w:ilvl="0" w:tplc="2A02D960">
      <w:start w:val="1"/>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D8E78C8"/>
    <w:multiLevelType w:val="hybridMultilevel"/>
    <w:tmpl w:val="C7DCC0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21F35D5"/>
    <w:multiLevelType w:val="hybridMultilevel"/>
    <w:tmpl w:val="BC5A60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8566A42"/>
    <w:multiLevelType w:val="hybridMultilevel"/>
    <w:tmpl w:val="459000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FE85A6C"/>
    <w:multiLevelType w:val="hybridMultilevel"/>
    <w:tmpl w:val="6AB2B3D2"/>
    <w:lvl w:ilvl="0" w:tplc="28128888">
      <w:start w:val="1"/>
      <w:numFmt w:val="bullet"/>
      <w:lvlText w:val=""/>
      <w:lvlJc w:val="left"/>
      <w:pPr>
        <w:ind w:left="1440" w:hanging="360"/>
      </w:pPr>
      <w:rPr>
        <w:rFonts w:ascii="Symbol" w:hAnsi="Symbol"/>
      </w:rPr>
    </w:lvl>
    <w:lvl w:ilvl="1" w:tplc="47A05CCA">
      <w:start w:val="1"/>
      <w:numFmt w:val="bullet"/>
      <w:lvlText w:val=""/>
      <w:lvlJc w:val="left"/>
      <w:pPr>
        <w:ind w:left="1440" w:hanging="360"/>
      </w:pPr>
      <w:rPr>
        <w:rFonts w:ascii="Symbol" w:hAnsi="Symbol"/>
      </w:rPr>
    </w:lvl>
    <w:lvl w:ilvl="2" w:tplc="47CA60B6">
      <w:start w:val="1"/>
      <w:numFmt w:val="bullet"/>
      <w:lvlText w:val=""/>
      <w:lvlJc w:val="left"/>
      <w:pPr>
        <w:ind w:left="1440" w:hanging="360"/>
      </w:pPr>
      <w:rPr>
        <w:rFonts w:ascii="Symbol" w:hAnsi="Symbol"/>
      </w:rPr>
    </w:lvl>
    <w:lvl w:ilvl="3" w:tplc="A3740668">
      <w:start w:val="1"/>
      <w:numFmt w:val="bullet"/>
      <w:lvlText w:val=""/>
      <w:lvlJc w:val="left"/>
      <w:pPr>
        <w:ind w:left="1440" w:hanging="360"/>
      </w:pPr>
      <w:rPr>
        <w:rFonts w:ascii="Symbol" w:hAnsi="Symbol"/>
      </w:rPr>
    </w:lvl>
    <w:lvl w:ilvl="4" w:tplc="3328F10E">
      <w:start w:val="1"/>
      <w:numFmt w:val="bullet"/>
      <w:lvlText w:val=""/>
      <w:lvlJc w:val="left"/>
      <w:pPr>
        <w:ind w:left="1440" w:hanging="360"/>
      </w:pPr>
      <w:rPr>
        <w:rFonts w:ascii="Symbol" w:hAnsi="Symbol"/>
      </w:rPr>
    </w:lvl>
    <w:lvl w:ilvl="5" w:tplc="6D220AD4">
      <w:start w:val="1"/>
      <w:numFmt w:val="bullet"/>
      <w:lvlText w:val=""/>
      <w:lvlJc w:val="left"/>
      <w:pPr>
        <w:ind w:left="1440" w:hanging="360"/>
      </w:pPr>
      <w:rPr>
        <w:rFonts w:ascii="Symbol" w:hAnsi="Symbol"/>
      </w:rPr>
    </w:lvl>
    <w:lvl w:ilvl="6" w:tplc="C76C183C">
      <w:start w:val="1"/>
      <w:numFmt w:val="bullet"/>
      <w:lvlText w:val=""/>
      <w:lvlJc w:val="left"/>
      <w:pPr>
        <w:ind w:left="1440" w:hanging="360"/>
      </w:pPr>
      <w:rPr>
        <w:rFonts w:ascii="Symbol" w:hAnsi="Symbol"/>
      </w:rPr>
    </w:lvl>
    <w:lvl w:ilvl="7" w:tplc="1CB0D57C">
      <w:start w:val="1"/>
      <w:numFmt w:val="bullet"/>
      <w:lvlText w:val=""/>
      <w:lvlJc w:val="left"/>
      <w:pPr>
        <w:ind w:left="1440" w:hanging="360"/>
      </w:pPr>
      <w:rPr>
        <w:rFonts w:ascii="Symbol" w:hAnsi="Symbol"/>
      </w:rPr>
    </w:lvl>
    <w:lvl w:ilvl="8" w:tplc="AF4C85B6">
      <w:start w:val="1"/>
      <w:numFmt w:val="bullet"/>
      <w:lvlText w:val=""/>
      <w:lvlJc w:val="left"/>
      <w:pPr>
        <w:ind w:left="1440" w:hanging="360"/>
      </w:pPr>
      <w:rPr>
        <w:rFonts w:ascii="Symbol" w:hAnsi="Symbol"/>
      </w:rPr>
    </w:lvl>
  </w:abstractNum>
  <w:abstractNum w:abstractNumId="14" w15:restartNumberingAfterBreak="0">
    <w:nsid w:val="750D450F"/>
    <w:multiLevelType w:val="hybridMultilevel"/>
    <w:tmpl w:val="06986F4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A0433B5"/>
    <w:multiLevelType w:val="hybridMultilevel"/>
    <w:tmpl w:val="C77A15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5496945">
    <w:abstractNumId w:val="14"/>
  </w:num>
  <w:num w:numId="2" w16cid:durableId="218711458">
    <w:abstractNumId w:val="11"/>
  </w:num>
  <w:num w:numId="3" w16cid:durableId="1532495444">
    <w:abstractNumId w:val="8"/>
  </w:num>
  <w:num w:numId="4" w16cid:durableId="246305255">
    <w:abstractNumId w:val="7"/>
  </w:num>
  <w:num w:numId="5" w16cid:durableId="1800957940">
    <w:abstractNumId w:val="15"/>
  </w:num>
  <w:num w:numId="6" w16cid:durableId="1584149150">
    <w:abstractNumId w:val="10"/>
  </w:num>
  <w:num w:numId="7" w16cid:durableId="2024936249">
    <w:abstractNumId w:val="9"/>
  </w:num>
  <w:num w:numId="8" w16cid:durableId="235480695">
    <w:abstractNumId w:val="2"/>
  </w:num>
  <w:num w:numId="9" w16cid:durableId="1816217789">
    <w:abstractNumId w:val="3"/>
  </w:num>
  <w:num w:numId="10" w16cid:durableId="508642265">
    <w:abstractNumId w:val="13"/>
  </w:num>
  <w:num w:numId="11" w16cid:durableId="167254027">
    <w:abstractNumId w:val="0"/>
  </w:num>
  <w:num w:numId="12" w16cid:durableId="1523397360">
    <w:abstractNumId w:val="12"/>
  </w:num>
  <w:num w:numId="13" w16cid:durableId="919366380">
    <w:abstractNumId w:val="6"/>
  </w:num>
  <w:num w:numId="14" w16cid:durableId="2099868222">
    <w:abstractNumId w:val="1"/>
  </w:num>
  <w:num w:numId="15" w16cid:durableId="1210413998">
    <w:abstractNumId w:val="5"/>
  </w:num>
  <w:num w:numId="16" w16cid:durableId="30304715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 Bojkov">
    <w15:presenceInfo w15:providerId="AD" w15:userId="S::ebojkov@qualityhealth.org::6ebdf489-8751-49a4-bcfc-8b396765f0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2F"/>
    <w:rsid w:val="00030829"/>
    <w:rsid w:val="00042B6B"/>
    <w:rsid w:val="000903DD"/>
    <w:rsid w:val="000A0C62"/>
    <w:rsid w:val="000D6E5A"/>
    <w:rsid w:val="000E3F12"/>
    <w:rsid w:val="00132721"/>
    <w:rsid w:val="00140ED0"/>
    <w:rsid w:val="001628A3"/>
    <w:rsid w:val="00165741"/>
    <w:rsid w:val="00171020"/>
    <w:rsid w:val="001801C4"/>
    <w:rsid w:val="001E491D"/>
    <w:rsid w:val="002133F0"/>
    <w:rsid w:val="002204ED"/>
    <w:rsid w:val="002207D7"/>
    <w:rsid w:val="00234B48"/>
    <w:rsid w:val="00236109"/>
    <w:rsid w:val="002413A4"/>
    <w:rsid w:val="0024279C"/>
    <w:rsid w:val="00250019"/>
    <w:rsid w:val="00255F16"/>
    <w:rsid w:val="00263F80"/>
    <w:rsid w:val="002A0F1E"/>
    <w:rsid w:val="002A3563"/>
    <w:rsid w:val="002B1202"/>
    <w:rsid w:val="002B44F9"/>
    <w:rsid w:val="002D20E4"/>
    <w:rsid w:val="002D362D"/>
    <w:rsid w:val="002F014A"/>
    <w:rsid w:val="00330D95"/>
    <w:rsid w:val="00367B2F"/>
    <w:rsid w:val="00393BC1"/>
    <w:rsid w:val="003A0B1B"/>
    <w:rsid w:val="003A757D"/>
    <w:rsid w:val="003B39D3"/>
    <w:rsid w:val="003B57CD"/>
    <w:rsid w:val="003B64DD"/>
    <w:rsid w:val="003C3A3E"/>
    <w:rsid w:val="003D7350"/>
    <w:rsid w:val="003D7788"/>
    <w:rsid w:val="003E2DE0"/>
    <w:rsid w:val="004156AE"/>
    <w:rsid w:val="0041648F"/>
    <w:rsid w:val="004338A9"/>
    <w:rsid w:val="00451E19"/>
    <w:rsid w:val="00454833"/>
    <w:rsid w:val="00472909"/>
    <w:rsid w:val="004859FE"/>
    <w:rsid w:val="00495270"/>
    <w:rsid w:val="00505A15"/>
    <w:rsid w:val="00514D9E"/>
    <w:rsid w:val="00526B53"/>
    <w:rsid w:val="005458F0"/>
    <w:rsid w:val="00570F78"/>
    <w:rsid w:val="005B6B7A"/>
    <w:rsid w:val="005C2032"/>
    <w:rsid w:val="005C654D"/>
    <w:rsid w:val="005C69D7"/>
    <w:rsid w:val="005D0CC9"/>
    <w:rsid w:val="00640936"/>
    <w:rsid w:val="00673CB3"/>
    <w:rsid w:val="006911BD"/>
    <w:rsid w:val="00696E94"/>
    <w:rsid w:val="006A663D"/>
    <w:rsid w:val="006B23AB"/>
    <w:rsid w:val="006D648C"/>
    <w:rsid w:val="006D687E"/>
    <w:rsid w:val="006F1D6C"/>
    <w:rsid w:val="00712A9C"/>
    <w:rsid w:val="00717A73"/>
    <w:rsid w:val="00723AB4"/>
    <w:rsid w:val="00746138"/>
    <w:rsid w:val="007519F9"/>
    <w:rsid w:val="007648EC"/>
    <w:rsid w:val="0079022F"/>
    <w:rsid w:val="00793306"/>
    <w:rsid w:val="007A31E3"/>
    <w:rsid w:val="007B5ED6"/>
    <w:rsid w:val="007F5614"/>
    <w:rsid w:val="007F5DB6"/>
    <w:rsid w:val="008147C7"/>
    <w:rsid w:val="00821406"/>
    <w:rsid w:val="0082387D"/>
    <w:rsid w:val="00853399"/>
    <w:rsid w:val="00885EFA"/>
    <w:rsid w:val="008A3F88"/>
    <w:rsid w:val="008C1BF4"/>
    <w:rsid w:val="008E47BE"/>
    <w:rsid w:val="0095717A"/>
    <w:rsid w:val="00961041"/>
    <w:rsid w:val="0097560D"/>
    <w:rsid w:val="00980BBC"/>
    <w:rsid w:val="009B0E72"/>
    <w:rsid w:val="009B3539"/>
    <w:rsid w:val="009B6A82"/>
    <w:rsid w:val="009D4569"/>
    <w:rsid w:val="009E15FB"/>
    <w:rsid w:val="009E2807"/>
    <w:rsid w:val="009E7907"/>
    <w:rsid w:val="009F38B1"/>
    <w:rsid w:val="00A21EC1"/>
    <w:rsid w:val="00A230C7"/>
    <w:rsid w:val="00A50C46"/>
    <w:rsid w:val="00A656A6"/>
    <w:rsid w:val="00A66BED"/>
    <w:rsid w:val="00A9581A"/>
    <w:rsid w:val="00AA0247"/>
    <w:rsid w:val="00AA5077"/>
    <w:rsid w:val="00AA778B"/>
    <w:rsid w:val="00AD1378"/>
    <w:rsid w:val="00AF5A65"/>
    <w:rsid w:val="00B01D1A"/>
    <w:rsid w:val="00B1230C"/>
    <w:rsid w:val="00B16E81"/>
    <w:rsid w:val="00B35A78"/>
    <w:rsid w:val="00B52DC6"/>
    <w:rsid w:val="00B573B0"/>
    <w:rsid w:val="00B57C67"/>
    <w:rsid w:val="00B76C65"/>
    <w:rsid w:val="00B87B98"/>
    <w:rsid w:val="00B9252F"/>
    <w:rsid w:val="00BA3C0C"/>
    <w:rsid w:val="00BC1F1E"/>
    <w:rsid w:val="00BC3F3F"/>
    <w:rsid w:val="00BC612E"/>
    <w:rsid w:val="00BE7E4D"/>
    <w:rsid w:val="00C01064"/>
    <w:rsid w:val="00C12E5B"/>
    <w:rsid w:val="00C1778E"/>
    <w:rsid w:val="00C845D8"/>
    <w:rsid w:val="00C94F3E"/>
    <w:rsid w:val="00CA2C52"/>
    <w:rsid w:val="00CA399E"/>
    <w:rsid w:val="00CC634E"/>
    <w:rsid w:val="00CE6969"/>
    <w:rsid w:val="00D06F07"/>
    <w:rsid w:val="00D16B1B"/>
    <w:rsid w:val="00D5315E"/>
    <w:rsid w:val="00D67B1F"/>
    <w:rsid w:val="00D84C25"/>
    <w:rsid w:val="00DB6DCE"/>
    <w:rsid w:val="00DC08A8"/>
    <w:rsid w:val="00DD2DFB"/>
    <w:rsid w:val="00DE3FE9"/>
    <w:rsid w:val="00E03A2A"/>
    <w:rsid w:val="00E05B1C"/>
    <w:rsid w:val="00E27D7B"/>
    <w:rsid w:val="00E30B11"/>
    <w:rsid w:val="00E56490"/>
    <w:rsid w:val="00E72A12"/>
    <w:rsid w:val="00E75992"/>
    <w:rsid w:val="00E8132A"/>
    <w:rsid w:val="00EC41B7"/>
    <w:rsid w:val="00EC5866"/>
    <w:rsid w:val="00F02FF2"/>
    <w:rsid w:val="00F0324D"/>
    <w:rsid w:val="00F14174"/>
    <w:rsid w:val="00F1619F"/>
    <w:rsid w:val="00F163D3"/>
    <w:rsid w:val="00F32669"/>
    <w:rsid w:val="00F448E2"/>
    <w:rsid w:val="00F454C1"/>
    <w:rsid w:val="00F5093D"/>
    <w:rsid w:val="00F83844"/>
    <w:rsid w:val="00F960EC"/>
    <w:rsid w:val="79A19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91D9"/>
  <w15:chartTrackingRefBased/>
  <w15:docId w15:val="{5194412A-B5BA-47CB-944A-24400C36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022F"/>
    <w:pPr>
      <w:spacing w:line="259" w:lineRule="auto"/>
    </w:pPr>
    <w:rPr>
      <w:kern w:val="0"/>
      <w:sz w:val="22"/>
      <w:szCs w:val="22"/>
      <w14:ligatures w14:val="none"/>
    </w:rPr>
  </w:style>
  <w:style w:type="paragraph" w:styleId="Heading1">
    <w:name w:val="heading 1"/>
    <w:basedOn w:val="Normal"/>
    <w:next w:val="Normal"/>
    <w:link w:val="Heading1Char"/>
    <w:uiPriority w:val="9"/>
    <w:qFormat/>
    <w:rsid w:val="0079022F"/>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9022F"/>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902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2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2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22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9022F"/>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79022F"/>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79022F"/>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79022F"/>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79022F"/>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79022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9022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9022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9022F"/>
    <w:rPr>
      <w:rFonts w:eastAsiaTheme="majorEastAsia" w:cstheme="majorBidi"/>
      <w:color w:val="272727" w:themeColor="text1" w:themeTint="D8"/>
    </w:rPr>
  </w:style>
  <w:style w:type="paragraph" w:styleId="Title">
    <w:name w:val="Title"/>
    <w:basedOn w:val="Normal"/>
    <w:next w:val="Normal"/>
    <w:link w:val="TitleChar"/>
    <w:uiPriority w:val="10"/>
    <w:qFormat/>
    <w:rsid w:val="0079022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9022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9022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90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22F"/>
    <w:pPr>
      <w:spacing w:before="160"/>
      <w:jc w:val="center"/>
    </w:pPr>
    <w:rPr>
      <w:i/>
      <w:iCs/>
      <w:color w:val="404040" w:themeColor="text1" w:themeTint="BF"/>
    </w:rPr>
  </w:style>
  <w:style w:type="character" w:styleId="QuoteChar" w:customStyle="1">
    <w:name w:val="Quote Char"/>
    <w:basedOn w:val="DefaultParagraphFont"/>
    <w:link w:val="Quote"/>
    <w:uiPriority w:val="29"/>
    <w:rsid w:val="0079022F"/>
    <w:rPr>
      <w:i/>
      <w:iCs/>
      <w:color w:val="404040" w:themeColor="text1" w:themeTint="BF"/>
    </w:rPr>
  </w:style>
  <w:style w:type="paragraph" w:styleId="ListParagraph">
    <w:name w:val="List Paragraph"/>
    <w:basedOn w:val="Normal"/>
    <w:uiPriority w:val="34"/>
    <w:qFormat/>
    <w:rsid w:val="0079022F"/>
    <w:pPr>
      <w:ind w:left="720"/>
      <w:contextualSpacing/>
    </w:pPr>
  </w:style>
  <w:style w:type="character" w:styleId="IntenseEmphasis">
    <w:name w:val="Intense Emphasis"/>
    <w:basedOn w:val="DefaultParagraphFont"/>
    <w:uiPriority w:val="21"/>
    <w:qFormat/>
    <w:rsid w:val="0079022F"/>
    <w:rPr>
      <w:i/>
      <w:iCs/>
      <w:color w:val="2F5496" w:themeColor="accent1" w:themeShade="BF"/>
    </w:rPr>
  </w:style>
  <w:style w:type="paragraph" w:styleId="IntenseQuote">
    <w:name w:val="Intense Quote"/>
    <w:basedOn w:val="Normal"/>
    <w:next w:val="Normal"/>
    <w:link w:val="IntenseQuoteChar"/>
    <w:uiPriority w:val="30"/>
    <w:qFormat/>
    <w:rsid w:val="0079022F"/>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79022F"/>
    <w:rPr>
      <w:i/>
      <w:iCs/>
      <w:color w:val="2F5496" w:themeColor="accent1" w:themeShade="BF"/>
    </w:rPr>
  </w:style>
  <w:style w:type="character" w:styleId="IntenseReference">
    <w:name w:val="Intense Reference"/>
    <w:basedOn w:val="DefaultParagraphFont"/>
    <w:uiPriority w:val="32"/>
    <w:qFormat/>
    <w:rsid w:val="0079022F"/>
    <w:rPr>
      <w:b/>
      <w:bCs/>
      <w:smallCaps/>
      <w:color w:val="2F5496" w:themeColor="accent1" w:themeShade="BF"/>
      <w:spacing w:val="5"/>
    </w:rPr>
  </w:style>
  <w:style w:type="character" w:styleId="Hyperlink">
    <w:name w:val="Hyperlink"/>
    <w:basedOn w:val="DefaultParagraphFont"/>
    <w:uiPriority w:val="99"/>
    <w:unhideWhenUsed/>
    <w:rsid w:val="0079022F"/>
    <w:rPr>
      <w:color w:val="0000FF"/>
      <w:u w:val="single"/>
    </w:rPr>
  </w:style>
  <w:style w:type="table" w:styleId="PlainTable11" w:customStyle="1">
    <w:name w:val="Plain Table 11"/>
    <w:basedOn w:val="TableNormal"/>
    <w:uiPriority w:val="99"/>
    <w:rsid w:val="0079022F"/>
    <w:pPr>
      <w:spacing w:after="0" w:line="240" w:lineRule="auto"/>
    </w:pPr>
    <w:rPr>
      <w:kern w:val="0"/>
      <w:sz w:val="22"/>
      <w:szCs w:val="22"/>
      <w14:ligatures w14:val="none"/>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95270"/>
    <w:rPr>
      <w:sz w:val="16"/>
      <w:szCs w:val="16"/>
    </w:rPr>
  </w:style>
  <w:style w:type="paragraph" w:styleId="CommentText">
    <w:name w:val="annotation text"/>
    <w:basedOn w:val="Normal"/>
    <w:link w:val="CommentTextChar"/>
    <w:uiPriority w:val="99"/>
    <w:unhideWhenUsed/>
    <w:rsid w:val="00495270"/>
    <w:pPr>
      <w:spacing w:line="240" w:lineRule="auto"/>
    </w:pPr>
    <w:rPr>
      <w:sz w:val="20"/>
      <w:szCs w:val="20"/>
    </w:rPr>
  </w:style>
  <w:style w:type="character" w:styleId="CommentTextChar" w:customStyle="1">
    <w:name w:val="Comment Text Char"/>
    <w:basedOn w:val="DefaultParagraphFont"/>
    <w:link w:val="CommentText"/>
    <w:uiPriority w:val="99"/>
    <w:rsid w:val="0049527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5270"/>
    <w:rPr>
      <w:b/>
      <w:bCs/>
    </w:rPr>
  </w:style>
  <w:style w:type="character" w:styleId="CommentSubjectChar" w:customStyle="1">
    <w:name w:val="Comment Subject Char"/>
    <w:basedOn w:val="CommentTextChar"/>
    <w:link w:val="CommentSubject"/>
    <w:uiPriority w:val="99"/>
    <w:semiHidden/>
    <w:rsid w:val="00495270"/>
    <w:rPr>
      <w:b/>
      <w:bCs/>
      <w:kern w:val="0"/>
      <w:sz w:val="20"/>
      <w:szCs w:val="20"/>
      <w14:ligatures w14:val="none"/>
    </w:rPr>
  </w:style>
  <w:style w:type="table" w:styleId="TableGrid">
    <w:name w:val="Table Grid"/>
    <w:basedOn w:val="TableNormal"/>
    <w:uiPriority w:val="39"/>
    <w:rsid w:val="00EC58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DB6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acpm.org/wp-content/uploads/2025/08/Brain-Health-Toolkit-Final-002.pdf" TargetMode="External"/><Relationship Id="rId18" Type="http://schemas.openxmlformats.org/officeDocument/2006/relationships/hyperlink" Target="https://alz-journals.onlinelibrary.wiley.com/doi/epdf/10.1002/alz.071273"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s://www.qualityhealth.org/bree/wp-content/uploads/sites/8/2026/01/BP-Screening-and-Control-framework_V1.0.pdf" TargetMode="External"/><Relationship Id="rId7" Type="http://schemas.microsoft.com/office/2016/09/relationships/commentsIds" Target="commentsIds.xml"/><Relationship Id="rId12" Type="http://schemas.openxmlformats.org/officeDocument/2006/relationships/hyperlink" Target="https://iris.who.int/server/api/core/bitstreams/619fbcac-9fb4-4913-a56c-3be2b55084f2/content" TargetMode="External"/><Relationship Id="rId17" Type="http://schemas.openxmlformats.org/officeDocument/2006/relationships/hyperlink" Target="https://www.cms.gov/files/document/guide-model-overview-fs.pdf"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pmc.ncbi.nlm.nih.gov/articles/PMC11182839/" TargetMode="External"/><Relationship Id="rId20" Type="http://schemas.openxmlformats.org/officeDocument/2006/relationships/hyperlink" Target="https://www.qualityhealth.org/bree/wp-content/uploads/sites/8/2026/01/Theory-of-Change2_hypertension_final.pdf"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dshs.wa.gov/sites/default/files/ALTSA/stakeholders/documents/AD/DAC-Clinical%20Provider%20Practice%20Tool.pdf" TargetMode="External"/><Relationship Id="rId24" Type="http://schemas.openxmlformats.org/officeDocument/2006/relationships/theme" Target="theme/theme1.xml"/><Relationship Id="rId5" Type="http://schemas.openxmlformats.org/officeDocument/2006/relationships/comments" Target="comments.xml"/><Relationship Id="rId15" Type="http://schemas.openxmlformats.org/officeDocument/2006/relationships/hyperlink" Target="https://pmc.ncbi.nlm.nih.gov/articles/PMC10783973/" TargetMode="External"/><Relationship Id="rId23" Type="http://schemas.microsoft.com/office/2011/relationships/people" Target="people.xml"/><Relationship Id="rId10" Type="http://schemas.openxmlformats.org/officeDocument/2006/relationships/hyperlink" Target="https://www.alz.org/national/documents/brochure_dignified_diagnosis.pdf" TargetMode="External"/><Relationship Id="rId19" Type="http://schemas.openxmlformats.org/officeDocument/2006/relationships/hyperlink" Target="https://www.alz.org/getmedia/eb083607-0991-4565-8919-1ac0c8a6b899/dementia-care-evidence-based-nonpharmacological-practices-to-address-behavioral-and-psychological-symptoms-of-dementia-2018.pdf" TargetMode="External"/><Relationship Id="rId4" Type="http://schemas.openxmlformats.org/officeDocument/2006/relationships/webSettings" Target="webSettings.xml"/><Relationship Id="rId9" Type="http://schemas.openxmlformats.org/officeDocument/2006/relationships/hyperlink" Target="http://www.dshs.wa.gov/sites/default/files/ALTSA/stakeholders/documents/AD/DAC-Clinical%20Provider%20Practice%20Tool.pdf" TargetMode="External"/><Relationship Id="rId14" Type="http://schemas.openxmlformats.org/officeDocument/2006/relationships/hyperlink" Target="https://www.alz.org/getmedia/f7f8cc01-ddbf-469b-82e9-2fa8e87acb80/dementia-care-providers-can-help-to-increase-detection-of-cognitive-impairment-and-encourage-diagnostic-evaluation-for-dementia-2018.pdf" TargetMode="External"/><Relationship Id="rId22" Type="http://schemas.openxmlformats.org/officeDocument/2006/relationships/fontTable" Target="fontTable.xml"/><Relationship Id="rId27"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8708C326C3E4CADFCB833D741E62C" ma:contentTypeVersion="19" ma:contentTypeDescription="Create a new document." ma:contentTypeScope="" ma:versionID="37b3548a8d1095feac1131061965adaa">
  <xsd:schema xmlns:xsd="http://www.w3.org/2001/XMLSchema" xmlns:xs="http://www.w3.org/2001/XMLSchema" xmlns:p="http://schemas.microsoft.com/office/2006/metadata/properties" xmlns:ns2="30c96ee6-c168-4e58-9503-bca1f305f3f9" xmlns:ns3="f46ad185-d85d-425e-a013-e9b99bc40c0a" targetNamespace="http://schemas.microsoft.com/office/2006/metadata/properties" ma:root="true" ma:fieldsID="5b01e0dce3b2f0df4d72e58725e67fa3" ns2:_="" ns3:_="">
    <xsd:import namespace="30c96ee6-c168-4e58-9503-bca1f305f3f9"/>
    <xsd:import namespace="f46ad185-d85d-425e-a013-e9b99bc40c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96ee6-c168-4e58-9503-bca1f305f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d3087-7421-4ee1-8c49-b3c8cbaf401e"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ad185-d85d-425e-a013-e9b99bc40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6735cc-23fa-4e5d-b651-fd23c1f97947}" ma:internalName="TaxCatchAll" ma:showField="CatchAllData" ma:web="f46ad185-d85d-425e-a013-e9b99bc40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30c96ee6-c168-4e58-9503-bca1f305f3f9" xsi:nil="true"/>
    <lcf76f155ced4ddcb4097134ff3c332f xmlns="30c96ee6-c168-4e58-9503-bca1f305f3f9">
      <Terms xmlns="http://schemas.microsoft.com/office/infopath/2007/PartnerControls"/>
    </lcf76f155ced4ddcb4097134ff3c332f>
    <TaxCatchAll xmlns="f46ad185-d85d-425e-a013-e9b99bc40c0a" xsi:nil="true"/>
  </documentManagement>
</p:properties>
</file>

<file path=customXml/itemProps1.xml><?xml version="1.0" encoding="utf-8"?>
<ds:datastoreItem xmlns:ds="http://schemas.openxmlformats.org/officeDocument/2006/customXml" ds:itemID="{576F8126-A86B-4F96-B2C4-FC8C7B57A8EF}"/>
</file>

<file path=customXml/itemProps2.xml><?xml version="1.0" encoding="utf-8"?>
<ds:datastoreItem xmlns:ds="http://schemas.openxmlformats.org/officeDocument/2006/customXml" ds:itemID="{E65C8E6A-8088-494F-B042-0332087D97C4}"/>
</file>

<file path=customXml/itemProps3.xml><?xml version="1.0" encoding="utf-8"?>
<ds:datastoreItem xmlns:ds="http://schemas.openxmlformats.org/officeDocument/2006/customXml" ds:itemID="{C7F14D0B-A5F4-4F77-9E57-26F5787CA9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Beth Bojkov</dc:creator>
  <keywords/>
  <dc:description/>
  <lastModifiedBy>Guest User</lastModifiedBy>
  <revision>153</revision>
  <dcterms:created xsi:type="dcterms:W3CDTF">2026-02-02T21:50:00.0000000Z</dcterms:created>
  <dcterms:modified xsi:type="dcterms:W3CDTF">2026-02-27T22:12:34.2408911Z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0x010100EE88708C326C3E4CADFCB833D741E62C</vt:lpwstr>
  </property>
  <property fmtid="{D5CDD505-2E9C-101B-9397-08002B2CF9AE}" pid="4" name="docLang">
    <vt:lpwstr>en</vt:lpwstr>
  </property>
  <property fmtid="{D5CDD505-2E9C-101B-9397-08002B2CF9AE}" pid="5" name="MediaServiceImageTags">
    <vt:lpwstr/>
  </property>
</Properties>
</file>