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B554" w14:textId="3FB8C202" w:rsidR="00293373" w:rsidRDefault="00293373" w:rsidP="00293373">
      <w:pPr>
        <w:pStyle w:val="Heading1"/>
      </w:pPr>
      <w:r>
        <w:t>Screening with LDCT Evidence Review</w:t>
      </w:r>
      <w:r w:rsidR="00813DD1">
        <w:t xml:space="preserve"> (+ Incidental Nodule Management)</w:t>
      </w:r>
    </w:p>
    <w:p w14:paraId="1EC79759" w14:textId="4C560A7F" w:rsidR="00011A0A" w:rsidRDefault="00770277" w:rsidP="00011A0A">
      <w:r>
        <w:t>Resources</w:t>
      </w:r>
    </w:p>
    <w:p w14:paraId="1AE66D76" w14:textId="62F2DA96" w:rsidR="00770277" w:rsidRDefault="00770277" w:rsidP="00011A0A">
      <w:hyperlink r:id="rId8" w:history="1">
        <w:r w:rsidRPr="00770277">
          <w:rPr>
            <w:rStyle w:val="Hyperlink"/>
          </w:rPr>
          <w:t>Lung-RADS-2022.pdf</w:t>
        </w:r>
      </w:hyperlink>
    </w:p>
    <w:p w14:paraId="0CF8170A" w14:textId="59CE6D3A" w:rsidR="00770277" w:rsidRDefault="00133692" w:rsidP="00011A0A">
      <w:hyperlink r:id="rId9" w:history="1">
        <w:r w:rsidRPr="00133692">
          <w:rPr>
            <w:rStyle w:val="Hyperlink"/>
          </w:rPr>
          <w:t>Lung Cancer Screening Center Designation (Revised 7-22-2024) : Accreditation Support</w:t>
        </w:r>
      </w:hyperlink>
    </w:p>
    <w:p w14:paraId="7EB7A53D" w14:textId="4851DAA4" w:rsidR="001D5F1E" w:rsidRDefault="001D5F1E" w:rsidP="00011A0A">
      <w:hyperlink r:id="rId10" w:history="1">
        <w:r w:rsidRPr="001D5F1E">
          <w:rPr>
            <w:rStyle w:val="Hyperlink"/>
          </w:rPr>
          <w:t>Enhancing the earlier detection of lung cancer: effective management of incidental pulmonary nodules</w:t>
        </w:r>
      </w:hyperlink>
    </w:p>
    <w:p w14:paraId="3A29AAFC" w14:textId="004137E5" w:rsidR="006713BE" w:rsidRPr="00011A0A" w:rsidRDefault="006713BE" w:rsidP="00011A0A">
      <w:hyperlink r:id="rId11" w:history="1">
        <w:r w:rsidRPr="006713BE">
          <w:rPr>
            <w:rStyle w:val="Hyperlink"/>
          </w:rPr>
          <w:t xml:space="preserve">Lung Nodule (Incidental) — ACR/Fleischner | </w:t>
        </w:r>
        <w:proofErr w:type="spellStart"/>
        <w:r w:rsidRPr="006713BE">
          <w:rPr>
            <w:rStyle w:val="Hyperlink"/>
          </w:rPr>
          <w:t>RadCall</w:t>
        </w:r>
        <w:proofErr w:type="spellEnd"/>
      </w:hyperlink>
    </w:p>
    <w:tbl>
      <w:tblPr>
        <w:tblStyle w:val="TableGrid"/>
        <w:tblW w:w="0" w:type="auto"/>
        <w:tblLook w:val="04A0" w:firstRow="1" w:lastRow="0" w:firstColumn="1" w:lastColumn="0" w:noHBand="0" w:noVBand="1"/>
      </w:tblPr>
      <w:tblGrid>
        <w:gridCol w:w="4816"/>
        <w:gridCol w:w="7329"/>
      </w:tblGrid>
      <w:tr w:rsidR="00C8570E" w14:paraId="0D17CF83" w14:textId="77D8E79D" w:rsidTr="00C8570E">
        <w:tc>
          <w:tcPr>
            <w:tcW w:w="4816" w:type="dxa"/>
          </w:tcPr>
          <w:p w14:paraId="069C6CC8" w14:textId="24CA5E22" w:rsidR="00C8570E" w:rsidRDefault="00C8570E">
            <w:r>
              <w:t>Citation</w:t>
            </w:r>
          </w:p>
        </w:tc>
        <w:tc>
          <w:tcPr>
            <w:tcW w:w="7329" w:type="dxa"/>
          </w:tcPr>
          <w:p w14:paraId="3A05D70D" w14:textId="13A94B53" w:rsidR="00C8570E" w:rsidRDefault="00C8570E">
            <w:r>
              <w:t>Findings</w:t>
            </w:r>
          </w:p>
        </w:tc>
      </w:tr>
      <w:tr w:rsidR="00C8570E" w14:paraId="7A068806" w14:textId="77777777" w:rsidTr="00C8570E">
        <w:tc>
          <w:tcPr>
            <w:tcW w:w="4816" w:type="dxa"/>
          </w:tcPr>
          <w:p w14:paraId="442CDAE7" w14:textId="56EE5E22" w:rsidR="00C8570E" w:rsidRPr="00293373" w:rsidRDefault="00C8570E" w:rsidP="00F545AB">
            <w:r w:rsidRPr="00691E49">
              <w:t xml:space="preserve">Expert Panel on Thoracic Imaging, Sandler, K. L., Henry, T. S., Amini, A., </w:t>
            </w:r>
            <w:proofErr w:type="spellStart"/>
            <w:r w:rsidRPr="00691E49">
              <w:t>Elojeimy</w:t>
            </w:r>
            <w:proofErr w:type="spellEnd"/>
            <w:r w:rsidRPr="00691E49">
              <w:t xml:space="preserve">, S., Kelly, A. M., Kuzniewski, C. T., Lee, E., Martin, M. D., Morris, M. F., Peterson, N. B., Raptis, C. A., Silvestri, G. A., Sirajuddin, A., Tong, B. C., Wiener, R. S., Witt, L. J., &amp; Donnelly, E. F. (2023). ACR Appropriateness Criteria® lung cancer screening: 2022 update. Journal of the American College of Radiology, 20(5S), S94–S101. </w:t>
            </w:r>
            <w:hyperlink r:id="rId12" w:history="1">
              <w:r w:rsidRPr="005A22D2">
                <w:rPr>
                  <w:rStyle w:val="Hyperlink"/>
                </w:rPr>
                <w:t>https://doi.org/10.1016/j.jacr.2023.02.014</w:t>
              </w:r>
            </w:hyperlink>
          </w:p>
        </w:tc>
        <w:tc>
          <w:tcPr>
            <w:tcW w:w="7329" w:type="dxa"/>
          </w:tcPr>
          <w:p w14:paraId="2E2A33D5" w14:textId="77777777" w:rsidR="00C8570E" w:rsidRDefault="00C8570E" w:rsidP="00F545AB">
            <w:r>
              <w:t xml:space="preserve">• Variant 1 : </w:t>
            </w:r>
            <w:r w:rsidRPr="00396903">
              <w:rPr>
                <w:b/>
                <w:bCs/>
              </w:rPr>
              <w:t>CT chest without IV contrast screening is usually appropriate</w:t>
            </w:r>
            <w:r>
              <w:t xml:space="preserve"> for the initial imaging of patients who are 50 to 80 years of age with 20 or more packs per year smoking history and currently smoke or have quit within the past 15 years.</w:t>
            </w:r>
          </w:p>
          <w:p w14:paraId="24134A92" w14:textId="77777777" w:rsidR="00C8570E" w:rsidRDefault="00C8570E" w:rsidP="00F545AB">
            <w:r>
              <w:t xml:space="preserve">• Variant 2 : </w:t>
            </w:r>
            <w:r w:rsidRPr="00396903">
              <w:rPr>
                <w:b/>
                <w:bCs/>
              </w:rPr>
              <w:t>Imaging is usually not appropriate</w:t>
            </w:r>
            <w:r>
              <w:t xml:space="preserve"> for the initial imaging of patients who are &lt;50 years of age with 20 or more packs per year history of smoking and one additional risk factor (</w:t>
            </w:r>
            <w:proofErr w:type="spellStart"/>
            <w:r>
              <w:t>ie</w:t>
            </w:r>
            <w:proofErr w:type="spellEnd"/>
            <w:r>
              <w:t>, radon exposure or occupational exposure or cancer history or family history of lung cancer or history of COPD or history of pulmonary fibrosis).</w:t>
            </w:r>
          </w:p>
          <w:p w14:paraId="07D6B0BB" w14:textId="132094DD" w:rsidR="00C8570E" w:rsidRDefault="00C8570E" w:rsidP="00F545AB">
            <w:r>
              <w:t>• Variant 3 :</w:t>
            </w:r>
            <w:r w:rsidRPr="00396903">
              <w:rPr>
                <w:b/>
                <w:bCs/>
              </w:rPr>
              <w:t xml:space="preserve"> Imaging is usually not appropriate</w:t>
            </w:r>
            <w:r>
              <w:t xml:space="preserve"> for the initial imaging of patients of any age with &lt;20 packs per year history of smoking, and no additional risk factor (</w:t>
            </w:r>
            <w:proofErr w:type="spellStart"/>
            <w:r>
              <w:t>ie</w:t>
            </w:r>
            <w:proofErr w:type="spellEnd"/>
            <w:r>
              <w:t>, radon exposure or occupational exposure or cancer history or family history of lung cancer or history of COPD or history of pulmonary fibrosis).</w:t>
            </w:r>
          </w:p>
        </w:tc>
      </w:tr>
      <w:tr w:rsidR="00C8570E" w14:paraId="3D8CB053" w14:textId="753DE25C" w:rsidTr="00C8570E">
        <w:tc>
          <w:tcPr>
            <w:tcW w:w="4816" w:type="dxa"/>
          </w:tcPr>
          <w:p w14:paraId="65809A7F" w14:textId="2C3F8749" w:rsidR="00C8570E" w:rsidRDefault="00C8570E" w:rsidP="00F545AB">
            <w:r w:rsidRPr="00293373">
              <w:t xml:space="preserve">Landsteiner, A., Zerzan, N., Ullman, K. E., Anthony, M., Claussen, A. M., Bayer, R., Do, T., Gustavson, A. M., Melzer, A. C., &amp; Wilt, T. J. (2025). Shared decision-making for lung cancer </w:t>
            </w:r>
            <w:r w:rsidRPr="00293373">
              <w:lastRenderedPageBreak/>
              <w:t xml:space="preserve">screening: A systematic review. </w:t>
            </w:r>
            <w:r w:rsidRPr="00293373">
              <w:rPr>
                <w:i/>
                <w:iCs/>
              </w:rPr>
              <w:t>CHEST Pulmonary, 3</w:t>
            </w:r>
            <w:r w:rsidRPr="00293373">
              <w:t xml:space="preserve">(4), Article 100222. </w:t>
            </w:r>
            <w:hyperlink r:id="rId13" w:history="1">
              <w:r w:rsidRPr="002A0BF8">
                <w:rPr>
                  <w:rStyle w:val="Hyperlink"/>
                </w:rPr>
                <w:t>https://doi.org/10.1016/j.chpulm.2025.100222</w:t>
              </w:r>
            </w:hyperlink>
          </w:p>
        </w:tc>
        <w:tc>
          <w:tcPr>
            <w:tcW w:w="7329" w:type="dxa"/>
          </w:tcPr>
          <w:p w14:paraId="58201568" w14:textId="77777777" w:rsidR="00C8570E" w:rsidRDefault="00C8570E" w:rsidP="00F545AB">
            <w:r>
              <w:lastRenderedPageBreak/>
              <w:t xml:space="preserve">Systematic review of US-based 12 RCTs and 19 observational studies of LCS shared decision-making with a comparator; 31 studies identified with 9 professional facing, 20 </w:t>
            </w:r>
            <w:proofErr w:type="gramStart"/>
            <w:r>
              <w:t>patient</w:t>
            </w:r>
            <w:proofErr w:type="gramEnd"/>
            <w:r>
              <w:t xml:space="preserve"> facing, and 2 </w:t>
            </w:r>
            <w:proofErr w:type="gramStart"/>
            <w:r>
              <w:t>other</w:t>
            </w:r>
            <w:proofErr w:type="gramEnd"/>
            <w:r>
              <w:t xml:space="preserve">; author report – 21 were a decision-aid and 10 were educational; moderate certainty of </w:t>
            </w:r>
            <w:r>
              <w:lastRenderedPageBreak/>
              <w:t>evidence that EMR-integrated SDM tools probably results in greater % receiving LCS compared to no tool</w:t>
            </w:r>
          </w:p>
          <w:p w14:paraId="379C0155" w14:textId="77777777" w:rsidR="00C8570E" w:rsidRDefault="00C8570E" w:rsidP="00F545AB"/>
          <w:p w14:paraId="11B3E609" w14:textId="2B2E833E" w:rsidR="00C8570E" w:rsidRDefault="00C8570E" w:rsidP="00F545AB">
            <w:pPr>
              <w:pStyle w:val="ListParagraph"/>
              <w:numPr>
                <w:ilvl w:val="0"/>
                <w:numId w:val="3"/>
              </w:numPr>
            </w:pPr>
            <w:r>
              <w:t>SDM tools and strategies may increase LCS participation, have acceptable information quality, and do not increase decisional conflict/regret; decision aid may be superior to an educational tool</w:t>
            </w:r>
          </w:p>
        </w:tc>
      </w:tr>
      <w:tr w:rsidR="00C8570E" w14:paraId="1818B3BB" w14:textId="474078CD" w:rsidTr="00C8570E">
        <w:tc>
          <w:tcPr>
            <w:tcW w:w="4816" w:type="dxa"/>
          </w:tcPr>
          <w:p w14:paraId="59553DD0" w14:textId="1D5169BB" w:rsidR="00C8570E" w:rsidRDefault="00C8570E" w:rsidP="00F545AB">
            <w:r w:rsidRPr="003846A1">
              <w:lastRenderedPageBreak/>
              <w:t xml:space="preserve">Núñez ER, Ito Fukunaga M, Stevens GA, Yang JK, Reid SE, Spiegel JL, Ingemi MR, Wiener RS. Review of Interventions That Improve Uptake of Lung Cancer Screening: A Cataloging of Strategies That Have Been Shown to Work (or Not). Chest. 2024 Sep;166(3):632-648. </w:t>
            </w:r>
            <w:proofErr w:type="spellStart"/>
            <w:r w:rsidRPr="003846A1">
              <w:t>doi</w:t>
            </w:r>
            <w:proofErr w:type="spellEnd"/>
            <w:r w:rsidRPr="003846A1">
              <w:t xml:space="preserve">: </w:t>
            </w:r>
            <w:hyperlink r:id="rId14" w:history="1">
              <w:r w:rsidRPr="003846A1">
                <w:rPr>
                  <w:rStyle w:val="Hyperlink"/>
                </w:rPr>
                <w:t>10.1016/j.chest.2024.04.019</w:t>
              </w:r>
            </w:hyperlink>
            <w:r w:rsidRPr="003846A1">
              <w:t xml:space="preserve">. </w:t>
            </w:r>
            <w:proofErr w:type="spellStart"/>
            <w:r w:rsidRPr="003846A1">
              <w:t>Epub</w:t>
            </w:r>
            <w:proofErr w:type="spellEnd"/>
            <w:r w:rsidRPr="003846A1">
              <w:t xml:space="preserve"> 2024 May 24. PMID: 38797278; PMCID: PMC11904607.</w:t>
            </w:r>
          </w:p>
        </w:tc>
        <w:tc>
          <w:tcPr>
            <w:tcW w:w="7329" w:type="dxa"/>
          </w:tcPr>
          <w:p w14:paraId="5A7CC4C3" w14:textId="77777777" w:rsidR="00C8570E" w:rsidRDefault="00C8570E" w:rsidP="00F545AB">
            <w:r>
              <w:t>Review appraising interventions designed to increase initial uptake of LCS, including how to address known barriers to LCS and their effectiveness in overcoming barriers; 12 studies included in the review, categorized into (1) interventions that improve smoking history documentation, (2) Interventions that improve awareness through outreach and education, (3) Interventions to improve LCS awareness through varied messaging, (4) SDM related interventions, (5) Patient Navigation, (6) multicomponent interventions</w:t>
            </w:r>
          </w:p>
          <w:p w14:paraId="3631305A" w14:textId="2CE11BAE" w:rsidR="00C8570E" w:rsidRDefault="00C8570E" w:rsidP="00F545AB">
            <w:pPr>
              <w:pStyle w:val="ListParagraph"/>
              <w:numPr>
                <w:ilvl w:val="0"/>
                <w:numId w:val="3"/>
              </w:numPr>
            </w:pPr>
          </w:p>
        </w:tc>
      </w:tr>
      <w:tr w:rsidR="00C8570E" w14:paraId="2DB2F1A5" w14:textId="77777777" w:rsidTr="00C8570E">
        <w:tc>
          <w:tcPr>
            <w:tcW w:w="4816" w:type="dxa"/>
          </w:tcPr>
          <w:p w14:paraId="42B41252" w14:textId="2C4C52D5" w:rsidR="00C8570E" w:rsidRPr="003846A1" w:rsidRDefault="00C8570E" w:rsidP="00F545AB">
            <w:proofErr w:type="spellStart"/>
            <w:r w:rsidRPr="00C340C9">
              <w:t>Osarogiagbon</w:t>
            </w:r>
            <w:proofErr w:type="spellEnd"/>
            <w:r w:rsidRPr="00C340C9">
              <w:t xml:space="preserve"> RU, Liao W, Faris NR, Meadows-Taylor M, Fehnel C, Lane J, Williams SC, Patel AA, </w:t>
            </w:r>
            <w:proofErr w:type="spellStart"/>
            <w:r w:rsidRPr="00C340C9">
              <w:t>Akinbobola</w:t>
            </w:r>
            <w:proofErr w:type="spellEnd"/>
            <w:r w:rsidRPr="00C340C9">
              <w:t xml:space="preserve"> OA, Pacheco A, Epperson A, Luttrell J, McCoy D, McHugh L, Signore R, Bishop AM, Tonkin K, </w:t>
            </w:r>
            <w:proofErr w:type="spellStart"/>
            <w:r w:rsidRPr="00C340C9">
              <w:t>Optican</w:t>
            </w:r>
            <w:proofErr w:type="spellEnd"/>
            <w:r w:rsidRPr="00C340C9">
              <w:t xml:space="preserve"> R, Wright J, Robbins T, Ray MA, Smeltzer MP. </w:t>
            </w:r>
            <w:r w:rsidRPr="00C340C9">
              <w:rPr>
                <w:b/>
                <w:bCs/>
              </w:rPr>
              <w:t>Lung Cancer Diagnosed Through Screening, Lung Nodule, and Neither Program: A Prospective Observational Study of the Detecting Early Lung Cancer (DELUGE) in the Mississippi Delta Cohort</w:t>
            </w:r>
            <w:r w:rsidRPr="00C340C9">
              <w:t xml:space="preserve">. J Clin Oncol. 2022 Jul 1;40(19):2094-2105. </w:t>
            </w:r>
            <w:proofErr w:type="spellStart"/>
            <w:r w:rsidRPr="00C340C9">
              <w:t>doi</w:t>
            </w:r>
            <w:proofErr w:type="spellEnd"/>
            <w:r w:rsidRPr="00C340C9">
              <w:t xml:space="preserve">: 10.1200/JCO.21.02496. </w:t>
            </w:r>
            <w:proofErr w:type="spellStart"/>
            <w:r w:rsidRPr="00C340C9">
              <w:t>Epub</w:t>
            </w:r>
            <w:proofErr w:type="spellEnd"/>
            <w:r w:rsidRPr="00C340C9">
              <w:t xml:space="preserve"> 2022 Mar 8. PMID: 35258994; PMCID: PMC9242408.</w:t>
            </w:r>
          </w:p>
        </w:tc>
        <w:tc>
          <w:tcPr>
            <w:tcW w:w="7329" w:type="dxa"/>
          </w:tcPr>
          <w:p w14:paraId="6CEB4542" w14:textId="77777777" w:rsidR="00C8570E" w:rsidRDefault="00C8570E" w:rsidP="00F545AB">
            <w:r>
              <w:t xml:space="preserve">Prospective observational cohort of 22,886 people to evaluate two approaches to early lung cancer detection – LDCT and program-based management of incidentally detected lung nodules; even if all eligible patients by USPSTF 2021 criteria had been enrolled in LDCT, the nodule program would have detected 20% of early stage 1-2 lung cancer in the entire cohort. </w:t>
            </w:r>
          </w:p>
          <w:p w14:paraId="112FAEC1" w14:textId="68902841" w:rsidR="00C8570E" w:rsidRDefault="00C8570E" w:rsidP="00C8570E">
            <w:pPr>
              <w:pStyle w:val="ListParagraph"/>
              <w:numPr>
                <w:ilvl w:val="0"/>
                <w:numId w:val="3"/>
              </w:numPr>
            </w:pPr>
            <w:r>
              <w:t>Tandem deployment of LDCT programs and management of incidental nodules can produce better detection than either alone</w:t>
            </w:r>
          </w:p>
        </w:tc>
      </w:tr>
      <w:tr w:rsidR="00C8570E" w14:paraId="1BC3FC05" w14:textId="77777777" w:rsidTr="00C8570E">
        <w:tc>
          <w:tcPr>
            <w:tcW w:w="4816" w:type="dxa"/>
          </w:tcPr>
          <w:p w14:paraId="4C73C137" w14:textId="5DA21659" w:rsidR="00C8570E" w:rsidRDefault="00C8570E" w:rsidP="00F545AB">
            <w:proofErr w:type="spellStart"/>
            <w:r w:rsidRPr="00124DAD">
              <w:t>Ezenwankwo</w:t>
            </w:r>
            <w:proofErr w:type="spellEnd"/>
            <w:r w:rsidRPr="00124DAD">
              <w:t xml:space="preserve">, E., Jones, C., Nguyen, D. T., &amp; Eberth, J. M. (2025). </w:t>
            </w:r>
            <w:r w:rsidRPr="002C2804">
              <w:t xml:space="preserve">Lung cancer screening </w:t>
            </w:r>
            <w:r w:rsidRPr="002C2804">
              <w:lastRenderedPageBreak/>
              <w:t>adherence in centralized vs decentralized screening programs: A meta-analysis of U.S. cohort studies among individuals with negative baseline results.</w:t>
            </w:r>
            <w:r w:rsidRPr="00124DAD">
              <w:t xml:space="preserve"> </w:t>
            </w:r>
            <w:r w:rsidRPr="00124DAD">
              <w:rPr>
                <w:i/>
                <w:iCs/>
              </w:rPr>
              <w:t>CHEST Pulmonary</w:t>
            </w:r>
            <w:r w:rsidRPr="00124DAD">
              <w:t xml:space="preserve">. Advance online publication. </w:t>
            </w:r>
            <w:hyperlink r:id="rId15" w:history="1">
              <w:r w:rsidRPr="002A0BF8">
                <w:rPr>
                  <w:rStyle w:val="Hyperlink"/>
                </w:rPr>
                <w:t>https://doi.org/10.1016/j.chpulm.2025.100236</w:t>
              </w:r>
            </w:hyperlink>
          </w:p>
        </w:tc>
        <w:tc>
          <w:tcPr>
            <w:tcW w:w="7329" w:type="dxa"/>
          </w:tcPr>
          <w:p w14:paraId="43BA0267" w14:textId="77777777" w:rsidR="00C8570E" w:rsidRDefault="00C8570E" w:rsidP="00F545AB">
            <w:r>
              <w:lastRenderedPageBreak/>
              <w:t xml:space="preserve">Meta-analysis of 12 studies (n=17,195) to identify association of participation in centralized versus decentralized lung cancer screening </w:t>
            </w:r>
            <w:r>
              <w:lastRenderedPageBreak/>
              <w:t>program with adherence to LCS with average 10-18 months of follow-up; Adherence higher in centralized compared with decentralized (68.9% vs 37.1%, P&lt;0.001, pooled OR 3.33, 95% CI 1.92-5.78)</w:t>
            </w:r>
          </w:p>
          <w:p w14:paraId="0FC8284F" w14:textId="2B908B93" w:rsidR="00C8570E" w:rsidRDefault="00C8570E" w:rsidP="00F545AB">
            <w:pPr>
              <w:pStyle w:val="ListParagraph"/>
              <w:numPr>
                <w:ilvl w:val="0"/>
                <w:numId w:val="3"/>
              </w:numPr>
            </w:pPr>
          </w:p>
        </w:tc>
      </w:tr>
      <w:tr w:rsidR="00C8570E" w14:paraId="525B3542" w14:textId="77777777" w:rsidTr="00C8570E">
        <w:tc>
          <w:tcPr>
            <w:tcW w:w="4816" w:type="dxa"/>
          </w:tcPr>
          <w:p w14:paraId="4233311F" w14:textId="441A947E" w:rsidR="00C8570E" w:rsidRPr="00124DAD" w:rsidRDefault="00C8570E" w:rsidP="00F545AB">
            <w:r w:rsidRPr="00124DAD">
              <w:lastRenderedPageBreak/>
              <w:t xml:space="preserve">Sayani, A., Ali, M. A., Dey, P., Corrado, A. M., Ziegler, C., Nicholson, E., &amp; Lofters, A. (2025). Interventions designed to increase the uptake of lung cancer screening: An equity-oriented scoping review. Preventive Medicine Reports, 57, 103432. </w:t>
            </w:r>
            <w:hyperlink r:id="rId16" w:history="1">
              <w:r w:rsidRPr="002A0BF8">
                <w:rPr>
                  <w:rStyle w:val="Hyperlink"/>
                </w:rPr>
                <w:t>https://doi.org/10.1016/j.pmedr.2025.103432</w:t>
              </w:r>
            </w:hyperlink>
          </w:p>
        </w:tc>
        <w:tc>
          <w:tcPr>
            <w:tcW w:w="7329" w:type="dxa"/>
          </w:tcPr>
          <w:p w14:paraId="694BCA79" w14:textId="77777777" w:rsidR="00C8570E" w:rsidRDefault="00C8570E" w:rsidP="00F545AB">
            <w:r>
              <w:t>Equity-oriented scoping review of interventions to improve access to LCS highlighting knowledge and implementation gaps; Included peer reviewed and gray literature from 2000-2021; 35 peer reviewed studies and 1 gray literature, interventions across US, UK, Japan, and Italy</w:t>
            </w:r>
          </w:p>
          <w:p w14:paraId="40F04C54" w14:textId="3E9637D9" w:rsidR="00C8570E" w:rsidRDefault="00C8570E" w:rsidP="00F545AB">
            <w:pPr>
              <w:pStyle w:val="ListParagraph"/>
              <w:numPr>
                <w:ilvl w:val="0"/>
                <w:numId w:val="3"/>
              </w:numPr>
            </w:pPr>
            <w:r>
              <w:t>Interventions that were most effective in improving access to LCS targeted priority populations, raised community-level awareness, tailored materials for sociocultural acceptability, did not depend on prior patient engagement/registration, proactively considered costs related to participation, and enhanced utilization through informed decision-making</w:t>
            </w:r>
          </w:p>
        </w:tc>
      </w:tr>
      <w:tr w:rsidR="00C8570E" w14:paraId="6F3A223D" w14:textId="34C691D6" w:rsidTr="00C8570E">
        <w:tc>
          <w:tcPr>
            <w:tcW w:w="4816" w:type="dxa"/>
          </w:tcPr>
          <w:p w14:paraId="165E31F3" w14:textId="006EF247" w:rsidR="00C8570E" w:rsidRDefault="00C8570E" w:rsidP="00F545AB">
            <w:r w:rsidRPr="00191390">
              <w:t xml:space="preserve">Wernli, K. J., Anderson, M. L., Palazzo, L., Luce, C., Bezman, N., Chin, M., Gao, H., Ralston, J. D., Rogers, K., Su, Y.-R., Triplette, M. J., Carter-Bawa, L., Vasavada, A., Jordan, M., West, M., Boler, S., &amp; Green, B. B. (2025). Effectiveness of a health communication intervention to improve knowledge on timeliness to return for annual lung cancer screening: The LARCH trial. </w:t>
            </w:r>
            <w:r w:rsidRPr="00191390">
              <w:rPr>
                <w:i/>
                <w:iCs/>
              </w:rPr>
              <w:t>JAMA Network Open</w:t>
            </w:r>
            <w:r w:rsidRPr="00191390">
              <w:t xml:space="preserve">. </w:t>
            </w:r>
            <w:hyperlink r:id="rId17" w:history="1">
              <w:r w:rsidRPr="00191390">
                <w:rPr>
                  <w:rStyle w:val="Hyperlink"/>
                </w:rPr>
                <w:t>Effectiveness of Health Communication Intervention to Improve Knowledge on Timeliness to Return for Annual Lung Cancer Screening: The Larch Trial - ScienceDirect</w:t>
              </w:r>
            </w:hyperlink>
          </w:p>
        </w:tc>
        <w:tc>
          <w:tcPr>
            <w:tcW w:w="7329" w:type="dxa"/>
          </w:tcPr>
          <w:p w14:paraId="6BDBBA75" w14:textId="77777777" w:rsidR="00C8570E" w:rsidRDefault="00C8570E" w:rsidP="00F545AB">
            <w:r>
              <w:t>Trial of additional health communication to improve patient knowledge of LCS timeliness, and adherence to annual LCS; intervention was composed of several parts – health communication 3 weeks after initial scan with message to normalize routine screening; reminder when screening was due; encouraging social connection</w:t>
            </w:r>
          </w:p>
          <w:p w14:paraId="36AEE955" w14:textId="1FD89B9C" w:rsidR="00C8570E" w:rsidRDefault="00C8570E" w:rsidP="00F545AB">
            <w:pPr>
              <w:pStyle w:val="ListParagraph"/>
              <w:numPr>
                <w:ilvl w:val="0"/>
                <w:numId w:val="3"/>
              </w:numPr>
            </w:pPr>
            <w:r>
              <w:t>Knowledge to return in 1 year improved, but no difference in those screened 2 or more times</w:t>
            </w:r>
          </w:p>
        </w:tc>
      </w:tr>
      <w:tr w:rsidR="00C8570E" w14:paraId="63E7AC3C" w14:textId="77777777" w:rsidTr="00C8570E">
        <w:tc>
          <w:tcPr>
            <w:tcW w:w="4816" w:type="dxa"/>
          </w:tcPr>
          <w:p w14:paraId="7177A094" w14:textId="59266BBB" w:rsidR="00C8570E" w:rsidRDefault="00C8570E" w:rsidP="00F545AB">
            <w:r w:rsidRPr="00DF49E1">
              <w:t xml:space="preserve">Prowse, S. R., </w:t>
            </w:r>
            <w:proofErr w:type="spellStart"/>
            <w:r w:rsidRPr="00DF49E1">
              <w:t>Brazzelli</w:t>
            </w:r>
            <w:proofErr w:type="spellEnd"/>
            <w:r w:rsidRPr="00DF49E1">
              <w:t xml:space="preserve">, M., &amp; Treweek, S. What factors influence the uptake of bowel, breast </w:t>
            </w:r>
            <w:r w:rsidRPr="00DF49E1">
              <w:lastRenderedPageBreak/>
              <w:t>and cervical cancer screening? An overview of international research. (2024)</w:t>
            </w:r>
            <w:r w:rsidRPr="00DF49E1">
              <w:rPr>
                <w:b/>
                <w:bCs/>
              </w:rPr>
              <w:t>.</w:t>
            </w:r>
            <w:r>
              <w:rPr>
                <w:b/>
                <w:bCs/>
              </w:rPr>
              <w:t xml:space="preserve"> </w:t>
            </w:r>
            <w:r w:rsidRPr="00DF49E1">
              <w:rPr>
                <w:i/>
                <w:iCs/>
              </w:rPr>
              <w:t>European Journal of Public Health, 34</w:t>
            </w:r>
            <w:r w:rsidRPr="00DF49E1">
              <w:t>(4), 818–825. https://doi.org/10.1093/eurpub/ckae073</w:t>
            </w:r>
          </w:p>
        </w:tc>
        <w:tc>
          <w:tcPr>
            <w:tcW w:w="7329" w:type="dxa"/>
          </w:tcPr>
          <w:p w14:paraId="30A8F771" w14:textId="77777777" w:rsidR="00C8570E" w:rsidRDefault="00C8570E" w:rsidP="00F545AB">
            <w:r>
              <w:lastRenderedPageBreak/>
              <w:t>Overview of 41 systematic reviews to understand what factors influence the uptake of cancer screening services (breast, bowel, cervical) in high-</w:t>
            </w:r>
            <w:r>
              <w:lastRenderedPageBreak/>
              <w:t>income countries; most prevalent barriers included fear of the unknown and possible cancer diagnosis, and lack of knowledge about screening programs; most prevalent facilitator was recommendation from a healthcare provider</w:t>
            </w:r>
          </w:p>
          <w:p w14:paraId="15583AF0" w14:textId="4B759478" w:rsidR="00C8570E" w:rsidRDefault="00C8570E" w:rsidP="00F545AB">
            <w:pPr>
              <w:pStyle w:val="ListParagraph"/>
              <w:numPr>
                <w:ilvl w:val="0"/>
                <w:numId w:val="3"/>
              </w:numPr>
            </w:pPr>
            <w:r>
              <w:t xml:space="preserve">Across all factors trust and build trusted relationships can be seen as integral to the success of cancer screening programs </w:t>
            </w:r>
          </w:p>
        </w:tc>
      </w:tr>
      <w:tr w:rsidR="00C8570E" w14:paraId="66F4100C" w14:textId="77777777" w:rsidTr="00C8570E">
        <w:tc>
          <w:tcPr>
            <w:tcW w:w="4816" w:type="dxa"/>
          </w:tcPr>
          <w:p w14:paraId="49F5916B" w14:textId="20D089B7" w:rsidR="00C8570E" w:rsidRPr="00DF49E1" w:rsidRDefault="00C8570E" w:rsidP="00F545AB">
            <w:r w:rsidRPr="004E004C">
              <w:lastRenderedPageBreak/>
              <w:t>Wernli, K. J., Tuzzio, L., Brush, S., Ehrlich, K., Gao, H., Anderson, M. L., &amp; Palazzo, L. (2021). Understanding patient and clinical stakeholder perspectives to improve adherence to lung cancer screening. *The Permanente Journal, 25*, 20.295. https://doi.org/10.7812/TPP/20.295</w:t>
            </w:r>
          </w:p>
        </w:tc>
        <w:tc>
          <w:tcPr>
            <w:tcW w:w="7329" w:type="dxa"/>
          </w:tcPr>
          <w:p w14:paraId="3456304C" w14:textId="37DB4A52" w:rsidR="00C8570E" w:rsidRDefault="00C8570E" w:rsidP="00F545AB">
            <w:r>
              <w:t xml:space="preserve">Mixed-methods study to measure adherence to repeat screening with low-dose CT, to interview KPWA stakeholders to understand the LCS program and to conduct codesign workshops with KPWA members and researchers; 2089 KPWA members had initial LDCT scans with negative, benign or short-interval follow-up </w:t>
            </w:r>
          </w:p>
          <w:p w14:paraId="5037104B" w14:textId="77777777" w:rsidR="00C8570E" w:rsidRDefault="00C8570E" w:rsidP="00F545AB"/>
          <w:p w14:paraId="6EFB61B9" w14:textId="634E5C48" w:rsidR="00C8570E" w:rsidRDefault="00C8570E" w:rsidP="00F545AB">
            <w:r>
              <w:t>Opportunities for healthcare system improvement include</w:t>
            </w:r>
          </w:p>
          <w:p w14:paraId="445AF72A" w14:textId="62BB6E2C" w:rsidR="00C8570E" w:rsidRDefault="00C8570E" w:rsidP="00F545AB">
            <w:pPr>
              <w:pStyle w:val="ListParagraph"/>
              <w:numPr>
                <w:ilvl w:val="0"/>
                <w:numId w:val="3"/>
              </w:numPr>
            </w:pPr>
            <w:r>
              <w:t xml:space="preserve">Clarification of clinical roles and responsibilities: ordering and follow-up on LDCT scans, </w:t>
            </w:r>
          </w:p>
          <w:p w14:paraId="27666694" w14:textId="037B948D" w:rsidR="00C8570E" w:rsidRDefault="00C8570E" w:rsidP="00F545AB">
            <w:pPr>
              <w:pStyle w:val="ListParagraph"/>
              <w:numPr>
                <w:ilvl w:val="0"/>
                <w:numId w:val="3"/>
              </w:numPr>
            </w:pPr>
            <w:r>
              <w:t>Care coordination across providers</w:t>
            </w:r>
          </w:p>
          <w:p w14:paraId="5E0FD566" w14:textId="4FB3226A" w:rsidR="00C8570E" w:rsidRDefault="00C8570E" w:rsidP="00F545AB">
            <w:pPr>
              <w:pStyle w:val="ListParagraph"/>
              <w:numPr>
                <w:ilvl w:val="0"/>
                <w:numId w:val="3"/>
              </w:numPr>
            </w:pPr>
            <w:r>
              <w:t>Ongoing training in LCS</w:t>
            </w:r>
          </w:p>
          <w:p w14:paraId="69604F71" w14:textId="0D2F550C" w:rsidR="00C8570E" w:rsidRDefault="00C8570E" w:rsidP="00F545AB">
            <w:pPr>
              <w:pStyle w:val="ListParagraph"/>
              <w:numPr>
                <w:ilvl w:val="0"/>
                <w:numId w:val="3"/>
              </w:numPr>
            </w:pPr>
            <w:r>
              <w:t>Revising EHR tools</w:t>
            </w:r>
          </w:p>
          <w:p w14:paraId="4C724C35" w14:textId="77777777" w:rsidR="00C8570E" w:rsidRDefault="00C8570E" w:rsidP="00F545AB"/>
          <w:p w14:paraId="733CEA1F" w14:textId="1647A4F7" w:rsidR="00C8570E" w:rsidRDefault="00C8570E" w:rsidP="00F545AB">
            <w:r>
              <w:t>Patient-perspective facilitators</w:t>
            </w:r>
          </w:p>
          <w:p w14:paraId="1F7ED571" w14:textId="0A67970D" w:rsidR="00C8570E" w:rsidRDefault="00C8570E" w:rsidP="00F545AB">
            <w:pPr>
              <w:pStyle w:val="ListParagraph"/>
              <w:numPr>
                <w:ilvl w:val="0"/>
                <w:numId w:val="2"/>
              </w:numPr>
            </w:pPr>
            <w:r>
              <w:t>Making screening personalized and convenient</w:t>
            </w:r>
          </w:p>
          <w:p w14:paraId="6B1D7039" w14:textId="57D4829D" w:rsidR="00C8570E" w:rsidRDefault="00C8570E" w:rsidP="00F545AB">
            <w:pPr>
              <w:pStyle w:val="ListParagraph"/>
              <w:numPr>
                <w:ilvl w:val="0"/>
                <w:numId w:val="2"/>
              </w:numPr>
            </w:pPr>
            <w:r>
              <w:t>Offering consistent messages and reminders in different modes</w:t>
            </w:r>
          </w:p>
          <w:p w14:paraId="37D4F9E4" w14:textId="05F515B1" w:rsidR="00C8570E" w:rsidRDefault="00C8570E" w:rsidP="00F545AB">
            <w:pPr>
              <w:pStyle w:val="ListParagraph"/>
              <w:numPr>
                <w:ilvl w:val="0"/>
                <w:numId w:val="2"/>
              </w:numPr>
            </w:pPr>
            <w:r>
              <w:t>Increasing knowledge about benefits, harms, and expectations of LDCT</w:t>
            </w:r>
          </w:p>
          <w:p w14:paraId="146CEEDB" w14:textId="6F524AE0" w:rsidR="00C8570E" w:rsidRDefault="00C8570E" w:rsidP="00F545AB">
            <w:pPr>
              <w:pStyle w:val="ListParagraph"/>
              <w:numPr>
                <w:ilvl w:val="0"/>
                <w:numId w:val="2"/>
              </w:numPr>
            </w:pPr>
            <w:r>
              <w:t xml:space="preserve">Financial and financial incentives for adherence </w:t>
            </w:r>
          </w:p>
          <w:p w14:paraId="79A3E2FB" w14:textId="77777777" w:rsidR="00C8570E" w:rsidRDefault="00C8570E" w:rsidP="00F545AB"/>
          <w:p w14:paraId="28A75890" w14:textId="0038D673" w:rsidR="00C8570E" w:rsidRDefault="00C8570E" w:rsidP="00F545AB">
            <w:r>
              <w:t xml:space="preserve">Design features of interventions that emerged from </w:t>
            </w:r>
            <w:proofErr w:type="gramStart"/>
            <w:r>
              <w:t>story-boards</w:t>
            </w:r>
            <w:proofErr w:type="gramEnd"/>
            <w:r>
              <w:t xml:space="preserve">: </w:t>
            </w:r>
          </w:p>
          <w:p w14:paraId="1946D365" w14:textId="77777777" w:rsidR="00C8570E" w:rsidRDefault="00C8570E" w:rsidP="00F545AB">
            <w:pPr>
              <w:pStyle w:val="ListParagraph"/>
              <w:numPr>
                <w:ilvl w:val="0"/>
                <w:numId w:val="1"/>
              </w:numPr>
            </w:pPr>
            <w:r>
              <w:t>Versatility: variation in communication modes and messages</w:t>
            </w:r>
          </w:p>
          <w:p w14:paraId="1F7C8DFE" w14:textId="77777777" w:rsidR="00C8570E" w:rsidRDefault="00C8570E" w:rsidP="00F545AB">
            <w:pPr>
              <w:pStyle w:val="ListParagraph"/>
              <w:numPr>
                <w:ilvl w:val="0"/>
                <w:numId w:val="1"/>
              </w:numPr>
            </w:pPr>
            <w:r>
              <w:t>Social support: others engaged and aware in patient’s health</w:t>
            </w:r>
          </w:p>
          <w:p w14:paraId="6DF20B2E" w14:textId="77777777" w:rsidR="00C8570E" w:rsidRDefault="00C8570E" w:rsidP="00F545AB">
            <w:pPr>
              <w:pStyle w:val="ListParagraph"/>
              <w:numPr>
                <w:ilvl w:val="0"/>
                <w:numId w:val="1"/>
              </w:numPr>
            </w:pPr>
            <w:r>
              <w:t xml:space="preserve">Individualized: personalized and responsive to emotions, fears, concerns, values, etc. </w:t>
            </w:r>
          </w:p>
          <w:p w14:paraId="2D28CDCB" w14:textId="77777777" w:rsidR="00C8570E" w:rsidRDefault="00C8570E" w:rsidP="00F545AB">
            <w:pPr>
              <w:pStyle w:val="ListParagraph"/>
              <w:numPr>
                <w:ilvl w:val="0"/>
                <w:numId w:val="1"/>
              </w:numPr>
            </w:pPr>
            <w:r>
              <w:lastRenderedPageBreak/>
              <w:t>Feelings: emotions or sentiments are recognized and validated</w:t>
            </w:r>
          </w:p>
          <w:p w14:paraId="37A60715" w14:textId="77777777" w:rsidR="00C8570E" w:rsidRDefault="00C8570E" w:rsidP="00F545AB">
            <w:pPr>
              <w:pStyle w:val="ListParagraph"/>
              <w:numPr>
                <w:ilvl w:val="0"/>
                <w:numId w:val="1"/>
              </w:numPr>
            </w:pPr>
            <w:r>
              <w:t>Knowledge: information is made available including on harms and benefits, pros/cons, expectations about LDCT and timing intervals</w:t>
            </w:r>
          </w:p>
          <w:p w14:paraId="3DD93F2C" w14:textId="3C3A9353" w:rsidR="00C8570E" w:rsidRDefault="00C8570E" w:rsidP="00F545AB">
            <w:pPr>
              <w:pStyle w:val="ListParagraph"/>
              <w:numPr>
                <w:ilvl w:val="0"/>
                <w:numId w:val="1"/>
              </w:numPr>
            </w:pPr>
            <w:r>
              <w:t>Responsibility: balance between whether a person vs an automated system takes responsibility</w:t>
            </w:r>
          </w:p>
          <w:p w14:paraId="171625B8" w14:textId="4F188D82" w:rsidR="00C8570E" w:rsidRDefault="00C8570E" w:rsidP="00F545AB">
            <w:pPr>
              <w:pStyle w:val="ListParagraph"/>
              <w:numPr>
                <w:ilvl w:val="0"/>
                <w:numId w:val="1"/>
              </w:numPr>
            </w:pPr>
            <w:r>
              <w:t>Continuity: information and activities are shared repeatedly and continuously to gain continuous engagement</w:t>
            </w:r>
          </w:p>
          <w:p w14:paraId="6BB6BB2E" w14:textId="77777777" w:rsidR="00C8570E" w:rsidRDefault="00C8570E" w:rsidP="00F545AB">
            <w:pPr>
              <w:pStyle w:val="ListParagraph"/>
              <w:numPr>
                <w:ilvl w:val="0"/>
                <w:numId w:val="1"/>
              </w:numPr>
            </w:pPr>
            <w:r>
              <w:t>Consistency: same messaging delivered at each opportunity to avoid confusion and create clarity and understanding</w:t>
            </w:r>
          </w:p>
          <w:p w14:paraId="57E1A034" w14:textId="77777777" w:rsidR="00C8570E" w:rsidRDefault="00C8570E" w:rsidP="00F545AB">
            <w:pPr>
              <w:pStyle w:val="ListParagraph"/>
              <w:numPr>
                <w:ilvl w:val="0"/>
                <w:numId w:val="1"/>
              </w:numPr>
            </w:pPr>
            <w:r>
              <w:t xml:space="preserve">Cadence: rhythm and timing sequence of providing information/reminders/doing LDCT timely and respectful </w:t>
            </w:r>
          </w:p>
          <w:p w14:paraId="6CD8904F" w14:textId="214CE943" w:rsidR="00C8570E" w:rsidRDefault="00C8570E" w:rsidP="00F545AB">
            <w:pPr>
              <w:pStyle w:val="ListParagraph"/>
              <w:numPr>
                <w:ilvl w:val="0"/>
                <w:numId w:val="1"/>
              </w:numPr>
            </w:pPr>
            <w:r>
              <w:t>Acknowledgement: acknowledgement, appreciation, celebration given internally vs externally to encourage adherence</w:t>
            </w:r>
          </w:p>
        </w:tc>
      </w:tr>
    </w:tbl>
    <w:p w14:paraId="494F1787" w14:textId="77777777" w:rsidR="00293373" w:rsidRDefault="00293373"/>
    <w:sectPr w:rsidR="00293373" w:rsidSect="007B6C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6576"/>
    <w:multiLevelType w:val="hybridMultilevel"/>
    <w:tmpl w:val="3D4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5262B"/>
    <w:multiLevelType w:val="hybridMultilevel"/>
    <w:tmpl w:val="5B48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F5A8B"/>
    <w:multiLevelType w:val="hybridMultilevel"/>
    <w:tmpl w:val="94FE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779533">
    <w:abstractNumId w:val="0"/>
  </w:num>
  <w:num w:numId="2" w16cid:durableId="1789159323">
    <w:abstractNumId w:val="2"/>
  </w:num>
  <w:num w:numId="3" w16cid:durableId="199513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373"/>
    <w:rsid w:val="00007A59"/>
    <w:rsid w:val="00011A0A"/>
    <w:rsid w:val="00013DC2"/>
    <w:rsid w:val="00020AA5"/>
    <w:rsid w:val="00045158"/>
    <w:rsid w:val="000865EE"/>
    <w:rsid w:val="000C5DB1"/>
    <w:rsid w:val="00100EDE"/>
    <w:rsid w:val="00124DAD"/>
    <w:rsid w:val="00133692"/>
    <w:rsid w:val="001604CD"/>
    <w:rsid w:val="00182A2A"/>
    <w:rsid w:val="00183F1F"/>
    <w:rsid w:val="00185590"/>
    <w:rsid w:val="00191390"/>
    <w:rsid w:val="00194466"/>
    <w:rsid w:val="001B22C8"/>
    <w:rsid w:val="001C6642"/>
    <w:rsid w:val="001D5F1E"/>
    <w:rsid w:val="001E5D29"/>
    <w:rsid w:val="0022176D"/>
    <w:rsid w:val="00241F8E"/>
    <w:rsid w:val="002572A1"/>
    <w:rsid w:val="00293373"/>
    <w:rsid w:val="002C2804"/>
    <w:rsid w:val="003321FD"/>
    <w:rsid w:val="00334F59"/>
    <w:rsid w:val="00352DE6"/>
    <w:rsid w:val="00372ACF"/>
    <w:rsid w:val="003846A1"/>
    <w:rsid w:val="00396903"/>
    <w:rsid w:val="003D02D1"/>
    <w:rsid w:val="004008AB"/>
    <w:rsid w:val="0041648F"/>
    <w:rsid w:val="00481F5E"/>
    <w:rsid w:val="004C0090"/>
    <w:rsid w:val="004E004C"/>
    <w:rsid w:val="004E119D"/>
    <w:rsid w:val="004E4F17"/>
    <w:rsid w:val="00504C6C"/>
    <w:rsid w:val="00554480"/>
    <w:rsid w:val="005C6EC4"/>
    <w:rsid w:val="006713BE"/>
    <w:rsid w:val="00691E49"/>
    <w:rsid w:val="00693E6A"/>
    <w:rsid w:val="00732FD6"/>
    <w:rsid w:val="00735EA8"/>
    <w:rsid w:val="00760E8C"/>
    <w:rsid w:val="00766E50"/>
    <w:rsid w:val="00770277"/>
    <w:rsid w:val="007B6C7B"/>
    <w:rsid w:val="00813DD1"/>
    <w:rsid w:val="0082387D"/>
    <w:rsid w:val="00830F4B"/>
    <w:rsid w:val="00885EFA"/>
    <w:rsid w:val="008A3503"/>
    <w:rsid w:val="008B58DE"/>
    <w:rsid w:val="008D3C4A"/>
    <w:rsid w:val="00912412"/>
    <w:rsid w:val="0094245A"/>
    <w:rsid w:val="009557F3"/>
    <w:rsid w:val="00990F34"/>
    <w:rsid w:val="009B0E07"/>
    <w:rsid w:val="009B3539"/>
    <w:rsid w:val="009B5CBD"/>
    <w:rsid w:val="009B6BBA"/>
    <w:rsid w:val="00A374C7"/>
    <w:rsid w:val="00A45578"/>
    <w:rsid w:val="00A64397"/>
    <w:rsid w:val="00A67526"/>
    <w:rsid w:val="00AA2F1E"/>
    <w:rsid w:val="00B144F5"/>
    <w:rsid w:val="00B33F9B"/>
    <w:rsid w:val="00BE7E4D"/>
    <w:rsid w:val="00C040DA"/>
    <w:rsid w:val="00C11706"/>
    <w:rsid w:val="00C14E8C"/>
    <w:rsid w:val="00C33D5B"/>
    <w:rsid w:val="00C340C9"/>
    <w:rsid w:val="00C42FD3"/>
    <w:rsid w:val="00C43B07"/>
    <w:rsid w:val="00C51EF3"/>
    <w:rsid w:val="00C8570E"/>
    <w:rsid w:val="00CD6C4B"/>
    <w:rsid w:val="00CE7AE2"/>
    <w:rsid w:val="00D02D43"/>
    <w:rsid w:val="00D471D4"/>
    <w:rsid w:val="00D909FC"/>
    <w:rsid w:val="00D94ADB"/>
    <w:rsid w:val="00D97D63"/>
    <w:rsid w:val="00DF49E1"/>
    <w:rsid w:val="00E34D60"/>
    <w:rsid w:val="00E440C9"/>
    <w:rsid w:val="00E602BC"/>
    <w:rsid w:val="00EA3194"/>
    <w:rsid w:val="00EA55F6"/>
    <w:rsid w:val="00EA6E8E"/>
    <w:rsid w:val="00EB17D0"/>
    <w:rsid w:val="00ED0A1B"/>
    <w:rsid w:val="00F14174"/>
    <w:rsid w:val="00F340DE"/>
    <w:rsid w:val="00F454C1"/>
    <w:rsid w:val="00F545AB"/>
    <w:rsid w:val="00F7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91A3"/>
  <w15:chartTrackingRefBased/>
  <w15:docId w15:val="{5758AADA-8595-4C26-958C-A0F3258D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93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93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373"/>
    <w:rPr>
      <w:rFonts w:eastAsiaTheme="majorEastAsia" w:cstheme="majorBidi"/>
      <w:color w:val="272727" w:themeColor="text1" w:themeTint="D8"/>
    </w:rPr>
  </w:style>
  <w:style w:type="paragraph" w:styleId="Title">
    <w:name w:val="Title"/>
    <w:basedOn w:val="Normal"/>
    <w:next w:val="Normal"/>
    <w:link w:val="TitleChar"/>
    <w:uiPriority w:val="10"/>
    <w:qFormat/>
    <w:rsid w:val="00293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373"/>
    <w:pPr>
      <w:spacing w:before="160"/>
      <w:jc w:val="center"/>
    </w:pPr>
    <w:rPr>
      <w:i/>
      <w:iCs/>
      <w:color w:val="404040" w:themeColor="text1" w:themeTint="BF"/>
    </w:rPr>
  </w:style>
  <w:style w:type="character" w:customStyle="1" w:styleId="QuoteChar">
    <w:name w:val="Quote Char"/>
    <w:basedOn w:val="DefaultParagraphFont"/>
    <w:link w:val="Quote"/>
    <w:uiPriority w:val="29"/>
    <w:rsid w:val="00293373"/>
    <w:rPr>
      <w:i/>
      <w:iCs/>
      <w:color w:val="404040" w:themeColor="text1" w:themeTint="BF"/>
    </w:rPr>
  </w:style>
  <w:style w:type="paragraph" w:styleId="ListParagraph">
    <w:name w:val="List Paragraph"/>
    <w:basedOn w:val="Normal"/>
    <w:uiPriority w:val="34"/>
    <w:qFormat/>
    <w:rsid w:val="00293373"/>
    <w:pPr>
      <w:ind w:left="720"/>
      <w:contextualSpacing/>
    </w:pPr>
  </w:style>
  <w:style w:type="character" w:styleId="IntenseEmphasis">
    <w:name w:val="Intense Emphasis"/>
    <w:basedOn w:val="DefaultParagraphFont"/>
    <w:uiPriority w:val="21"/>
    <w:qFormat/>
    <w:rsid w:val="00293373"/>
    <w:rPr>
      <w:i/>
      <w:iCs/>
      <w:color w:val="2F5496" w:themeColor="accent1" w:themeShade="BF"/>
    </w:rPr>
  </w:style>
  <w:style w:type="paragraph" w:styleId="IntenseQuote">
    <w:name w:val="Intense Quote"/>
    <w:basedOn w:val="Normal"/>
    <w:next w:val="Normal"/>
    <w:link w:val="IntenseQuoteChar"/>
    <w:uiPriority w:val="30"/>
    <w:qFormat/>
    <w:rsid w:val="0029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373"/>
    <w:rPr>
      <w:i/>
      <w:iCs/>
      <w:color w:val="2F5496" w:themeColor="accent1" w:themeShade="BF"/>
    </w:rPr>
  </w:style>
  <w:style w:type="character" w:styleId="IntenseReference">
    <w:name w:val="Intense Reference"/>
    <w:basedOn w:val="DefaultParagraphFont"/>
    <w:uiPriority w:val="32"/>
    <w:qFormat/>
    <w:rsid w:val="00293373"/>
    <w:rPr>
      <w:b/>
      <w:bCs/>
      <w:smallCaps/>
      <w:color w:val="2F5496" w:themeColor="accent1" w:themeShade="BF"/>
      <w:spacing w:val="5"/>
    </w:rPr>
  </w:style>
  <w:style w:type="table" w:styleId="TableGrid">
    <w:name w:val="Table Grid"/>
    <w:basedOn w:val="TableNormal"/>
    <w:uiPriority w:val="39"/>
    <w:rsid w:val="00293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373"/>
    <w:rPr>
      <w:color w:val="0563C1" w:themeColor="hyperlink"/>
      <w:u w:val="single"/>
    </w:rPr>
  </w:style>
  <w:style w:type="character" w:styleId="UnresolvedMention">
    <w:name w:val="Unresolved Mention"/>
    <w:basedOn w:val="DefaultParagraphFont"/>
    <w:uiPriority w:val="99"/>
    <w:semiHidden/>
    <w:unhideWhenUsed/>
    <w:rsid w:val="00293373"/>
    <w:rPr>
      <w:color w:val="605E5C"/>
      <w:shd w:val="clear" w:color="auto" w:fill="E1DFDD"/>
    </w:rPr>
  </w:style>
  <w:style w:type="character" w:styleId="FollowedHyperlink">
    <w:name w:val="FollowedHyperlink"/>
    <w:basedOn w:val="DefaultParagraphFont"/>
    <w:uiPriority w:val="99"/>
    <w:semiHidden/>
    <w:unhideWhenUsed/>
    <w:rsid w:val="002933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ge.sitecorecloud.io/americancoldf5f-acrorgf92a-productioncb02-3650/media/ACR/Files/RADS/Lung-RADS/Lung-RADS-2022.pdf" TargetMode="External"/><Relationship Id="rId13" Type="http://schemas.openxmlformats.org/officeDocument/2006/relationships/hyperlink" Target="https://doi.org/10.1016/j.chpulm.2025.1002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jacr.2023.02.014" TargetMode="External"/><Relationship Id="rId17" Type="http://schemas.openxmlformats.org/officeDocument/2006/relationships/hyperlink" Target="https://www.sciencedirect.com/science/article/abs/pii/S0012369225051736" TargetMode="External"/><Relationship Id="rId2" Type="http://schemas.openxmlformats.org/officeDocument/2006/relationships/customXml" Target="../customXml/item2.xml"/><Relationship Id="rId16" Type="http://schemas.openxmlformats.org/officeDocument/2006/relationships/hyperlink" Target="https://doi.org/10.1016/j.pmedr.2025.10343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ad-call.com/guides/lung-nodule-incidental" TargetMode="External"/><Relationship Id="rId5" Type="http://schemas.openxmlformats.org/officeDocument/2006/relationships/styles" Target="styles.xml"/><Relationship Id="rId15" Type="http://schemas.openxmlformats.org/officeDocument/2006/relationships/hyperlink" Target="https://doi.org/10.1016/j.chpulm.2025.100236" TargetMode="External"/><Relationship Id="rId10" Type="http://schemas.openxmlformats.org/officeDocument/2006/relationships/hyperlink" Target="https://www.lungcancerpolicynetwork.com/app/uploads/Enhancing-the-earlier-detection-of-lung-cancer-effective-management-of-incidental-pulmonary-nodules.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accreditationsupport.acr.org/support/solutions/articles/11000061040-lung-cancer-screening-center-designation-revised-11-9-2022?_gl=1*1vxs6mn*_gcl_au*MTU2ODQ1ODg4Ny4xNzgxNzk5ODYx*_ga*MjA5Njk1ODIwMS4xNzgxNzk5ODYx*_ga_K9XZBF7MXP*czE3ODE3OTk4NjAkbzEkZzEkdDE3ODE4MDAwODgkajYwJGwwJGgw" TargetMode="External"/><Relationship Id="rId14" Type="http://schemas.openxmlformats.org/officeDocument/2006/relationships/hyperlink" Target="https://pmc.ncbi.nlm.nih.gov/articles/PMC11904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8708C326C3E4CADFCB833D741E62C" ma:contentTypeVersion="20" ma:contentTypeDescription="Create a new document." ma:contentTypeScope="" ma:versionID="f3afee765c82e7c41a074191115dbc3e">
  <xsd:schema xmlns:xsd="http://www.w3.org/2001/XMLSchema" xmlns:xs="http://www.w3.org/2001/XMLSchema" xmlns:p="http://schemas.microsoft.com/office/2006/metadata/properties" xmlns:ns2="30c96ee6-c168-4e58-9503-bca1f305f3f9" xmlns:ns3="f46ad185-d85d-425e-a013-e9b99bc40c0a" targetNamespace="http://schemas.microsoft.com/office/2006/metadata/properties" ma:root="true" ma:fieldsID="bfdf991219adfe606fb9d083032ce085" ns2:_="" ns3:_="">
    <xsd:import namespace="30c96ee6-c168-4e58-9503-bca1f305f3f9"/>
    <xsd:import namespace="f46ad185-d85d-425e-a013-e9b99bc40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96ee6-c168-4e58-9503-bca1f305f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6d3087-7421-4ee1-8c49-b3c8cbaf401e"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6ad185-d85d-425e-a013-e9b99bc40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e6735cc-23fa-4e5d-b651-fd23c1f97947}" ma:internalName="TaxCatchAll" ma:showField="CatchAllData" ma:web="f46ad185-d85d-425e-a013-e9b99bc40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30c96ee6-c168-4e58-9503-bca1f305f3f9" xsi:nil="true"/>
    <lcf76f155ced4ddcb4097134ff3c332f xmlns="30c96ee6-c168-4e58-9503-bca1f305f3f9">
      <Terms xmlns="http://schemas.microsoft.com/office/infopath/2007/PartnerControls"/>
    </lcf76f155ced4ddcb4097134ff3c332f>
    <TaxCatchAll xmlns="f46ad185-d85d-425e-a013-e9b99bc40c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FBA5C-5C09-46B5-99A3-4E318594E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96ee6-c168-4e58-9503-bca1f305f3f9"/>
    <ds:schemaRef ds:uri="f46ad185-d85d-425e-a013-e9b99bc40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4B6CE-4B7E-446A-B7F8-3028D33618CD}">
  <ds:schemaRefs>
    <ds:schemaRef ds:uri="http://schemas.microsoft.com/office/2006/metadata/properties"/>
    <ds:schemaRef ds:uri="http://schemas.microsoft.com/office/infopath/2007/PartnerControls"/>
    <ds:schemaRef ds:uri="30c96ee6-c168-4e58-9503-bca1f305f3f9"/>
    <ds:schemaRef ds:uri="f46ad185-d85d-425e-a013-e9b99bc40c0a"/>
  </ds:schemaRefs>
</ds:datastoreItem>
</file>

<file path=customXml/itemProps3.xml><?xml version="1.0" encoding="utf-8"?>
<ds:datastoreItem xmlns:ds="http://schemas.openxmlformats.org/officeDocument/2006/customXml" ds:itemID="{56BFFC86-F72E-4742-B6A6-1DC9BFED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5</Pages>
  <Words>1617</Words>
  <Characters>9351</Characters>
  <Application>Microsoft Office Word</Application>
  <DocSecurity>0</DocSecurity>
  <Lines>584</Lines>
  <Paragraphs>476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Links>
    <vt:vector size="60" baseType="variant">
      <vt:variant>
        <vt:i4>2359404</vt:i4>
      </vt:variant>
      <vt:variant>
        <vt:i4>27</vt:i4>
      </vt:variant>
      <vt:variant>
        <vt:i4>0</vt:i4>
      </vt:variant>
      <vt:variant>
        <vt:i4>5</vt:i4>
      </vt:variant>
      <vt:variant>
        <vt:lpwstr>https://www.sciencedirect.com/science/article/abs/pii/S0012369225051736</vt:lpwstr>
      </vt:variant>
      <vt:variant>
        <vt:lpwstr/>
      </vt:variant>
      <vt:variant>
        <vt:i4>3080315</vt:i4>
      </vt:variant>
      <vt:variant>
        <vt:i4>24</vt:i4>
      </vt:variant>
      <vt:variant>
        <vt:i4>0</vt:i4>
      </vt:variant>
      <vt:variant>
        <vt:i4>5</vt:i4>
      </vt:variant>
      <vt:variant>
        <vt:lpwstr>https://doi.org/10.1016/j.pmedr.2025.103432</vt:lpwstr>
      </vt:variant>
      <vt:variant>
        <vt:lpwstr/>
      </vt:variant>
      <vt:variant>
        <vt:i4>5636176</vt:i4>
      </vt:variant>
      <vt:variant>
        <vt:i4>21</vt:i4>
      </vt:variant>
      <vt:variant>
        <vt:i4>0</vt:i4>
      </vt:variant>
      <vt:variant>
        <vt:i4>5</vt:i4>
      </vt:variant>
      <vt:variant>
        <vt:lpwstr>https://doi.org/10.1016/j.chpulm.2025.100236</vt:lpwstr>
      </vt:variant>
      <vt:variant>
        <vt:lpwstr/>
      </vt:variant>
      <vt:variant>
        <vt:i4>4063267</vt:i4>
      </vt:variant>
      <vt:variant>
        <vt:i4>18</vt:i4>
      </vt:variant>
      <vt:variant>
        <vt:i4>0</vt:i4>
      </vt:variant>
      <vt:variant>
        <vt:i4>5</vt:i4>
      </vt:variant>
      <vt:variant>
        <vt:lpwstr>https://pmc.ncbi.nlm.nih.gov/articles/PMC11904607/</vt:lpwstr>
      </vt:variant>
      <vt:variant>
        <vt:lpwstr/>
      </vt:variant>
      <vt:variant>
        <vt:i4>5374033</vt:i4>
      </vt:variant>
      <vt:variant>
        <vt:i4>15</vt:i4>
      </vt:variant>
      <vt:variant>
        <vt:i4>0</vt:i4>
      </vt:variant>
      <vt:variant>
        <vt:i4>5</vt:i4>
      </vt:variant>
      <vt:variant>
        <vt:lpwstr>https://doi.org/10.1016/j.chpulm.2025.100222</vt:lpwstr>
      </vt:variant>
      <vt:variant>
        <vt:lpwstr/>
      </vt:variant>
      <vt:variant>
        <vt:i4>3604541</vt:i4>
      </vt:variant>
      <vt:variant>
        <vt:i4>12</vt:i4>
      </vt:variant>
      <vt:variant>
        <vt:i4>0</vt:i4>
      </vt:variant>
      <vt:variant>
        <vt:i4>5</vt:i4>
      </vt:variant>
      <vt:variant>
        <vt:lpwstr>https://doi.org/10.1016/j.jacr.2023.02.014</vt:lpwstr>
      </vt:variant>
      <vt:variant>
        <vt:lpwstr/>
      </vt:variant>
      <vt:variant>
        <vt:i4>3735652</vt:i4>
      </vt:variant>
      <vt:variant>
        <vt:i4>9</vt:i4>
      </vt:variant>
      <vt:variant>
        <vt:i4>0</vt:i4>
      </vt:variant>
      <vt:variant>
        <vt:i4>5</vt:i4>
      </vt:variant>
      <vt:variant>
        <vt:lpwstr>https://rad-call.com/guides/lung-nodule-incidental</vt:lpwstr>
      </vt:variant>
      <vt:variant>
        <vt:lpwstr/>
      </vt:variant>
      <vt:variant>
        <vt:i4>6291488</vt:i4>
      </vt:variant>
      <vt:variant>
        <vt:i4>6</vt:i4>
      </vt:variant>
      <vt:variant>
        <vt:i4>0</vt:i4>
      </vt:variant>
      <vt:variant>
        <vt:i4>5</vt:i4>
      </vt:variant>
      <vt:variant>
        <vt:lpwstr>https://www.lungcancerpolicynetwork.com/app/uploads/Enhancing-the-earlier-detection-of-lung-cancer-effective-management-of-incidental-pulmonary-nodules.pdf</vt:lpwstr>
      </vt:variant>
      <vt:variant>
        <vt:lpwstr/>
      </vt:variant>
      <vt:variant>
        <vt:i4>7209062</vt:i4>
      </vt:variant>
      <vt:variant>
        <vt:i4>3</vt:i4>
      </vt:variant>
      <vt:variant>
        <vt:i4>0</vt:i4>
      </vt:variant>
      <vt:variant>
        <vt:i4>5</vt:i4>
      </vt:variant>
      <vt:variant>
        <vt:lpwstr>https://accreditationsupport.acr.org/support/solutions/articles/11000061040-lung-cancer-screening-center-designation-revised-11-9-2022?_gl=1*1vxs6mn*_gcl_au*MTU2ODQ1ODg4Ny4xNzgxNzk5ODYx*_ga*MjA5Njk1ODIwMS4xNzgxNzk5ODYx*_ga_K9XZBF7MXP*czE3ODE3OTk4NjAkbzEkZzEkdDE3ODE4MDAwODgkajYwJGwwJGgw</vt:lpwstr>
      </vt:variant>
      <vt:variant>
        <vt:lpwstr/>
      </vt:variant>
      <vt:variant>
        <vt:i4>4063286</vt:i4>
      </vt:variant>
      <vt:variant>
        <vt:i4>0</vt:i4>
      </vt:variant>
      <vt:variant>
        <vt:i4>0</vt:i4>
      </vt:variant>
      <vt:variant>
        <vt:i4>5</vt:i4>
      </vt:variant>
      <vt:variant>
        <vt:lpwstr>https://edge.sitecorecloud.io/americancoldf5f-acrorgf92a-productioncb02-3650/media/ACR/Files/RADS/Lung-RADS/Lung-RADS-2022.pdf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Bojkov</dc:creator>
  <cp:keywords/>
  <dc:description/>
  <cp:lastModifiedBy>Beth Bojkov</cp:lastModifiedBy>
  <cp:revision>91</cp:revision>
  <dcterms:created xsi:type="dcterms:W3CDTF">2026-06-17T16:49:00Z</dcterms:created>
  <dcterms:modified xsi:type="dcterms:W3CDTF">2026-06-26T01:18:00Z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0x010100EE88708C326C3E4CADFCB833D741E62C</vt:lpwstr>
  </property>
  <property fmtid="{D5CDD505-2E9C-101B-9397-08002B2CF9AE}" pid="3" name="MediaServiceImageTags">
    <vt:lpwstr/>
  </property>
</Properties>
</file>